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A5" w:rsidRPr="009352A5" w:rsidRDefault="009352A5" w:rsidP="009352A5">
      <w:pPr>
        <w:jc w:val="center"/>
        <w:rPr>
          <w:rFonts w:ascii="Century Gothic" w:hAnsi="Century Gothic"/>
          <w:color w:val="F79646" w:themeColor="accent6"/>
          <w:sz w:val="36"/>
          <w:szCs w:val="36"/>
        </w:rPr>
      </w:pPr>
    </w:p>
    <w:p w:rsidR="009352A5" w:rsidRPr="009352A5" w:rsidRDefault="00065FC0" w:rsidP="009352A5">
      <w:pPr>
        <w:jc w:val="center"/>
        <w:rPr>
          <w:rFonts w:ascii="Century Gothic" w:hAnsi="Century Gothic"/>
          <w:color w:val="F79646" w:themeColor="accent6"/>
          <w:sz w:val="20"/>
          <w:szCs w:val="20"/>
        </w:rPr>
      </w:pPr>
      <w:r w:rsidRPr="00065FC0">
        <w:rPr>
          <w:rFonts w:ascii="Century Gothic" w:hAnsi="Century Gothic"/>
          <w:b/>
          <w:color w:val="F79646" w:themeColor="accent6"/>
          <w:sz w:val="36"/>
          <w:szCs w:val="36"/>
        </w:rPr>
        <w:t xml:space="preserve">Stress in the Workplace: </w:t>
      </w:r>
      <w:r w:rsidR="00396BAE">
        <w:rPr>
          <w:rFonts w:ascii="Century Gothic" w:hAnsi="Century Gothic"/>
          <w:b/>
          <w:color w:val="F79646" w:themeColor="accent6"/>
          <w:sz w:val="36"/>
          <w:szCs w:val="36"/>
        </w:rPr>
        <w:t>Management</w:t>
      </w:r>
      <w:r w:rsidRPr="00065FC0">
        <w:rPr>
          <w:rFonts w:ascii="Century Gothic" w:hAnsi="Century Gothic"/>
          <w:b/>
          <w:color w:val="F79646" w:themeColor="accent6"/>
          <w:sz w:val="36"/>
          <w:szCs w:val="36"/>
        </w:rPr>
        <w:t xml:space="preserve"> Briefing</w:t>
      </w:r>
    </w:p>
    <w:p w:rsidR="00065FC0" w:rsidRDefault="00065FC0" w:rsidP="00AE2FE1">
      <w:pPr>
        <w:tabs>
          <w:tab w:val="left" w:pos="301"/>
        </w:tabs>
        <w:jc w:val="both"/>
        <w:rPr>
          <w:rFonts w:ascii="Century Gothic" w:hAnsi="Century Gothic"/>
          <w:color w:val="404040" w:themeColor="text1" w:themeTint="BF"/>
          <w:sz w:val="20"/>
          <w:szCs w:val="20"/>
        </w:rPr>
      </w:pPr>
    </w:p>
    <w:p w:rsidR="00065FC0" w:rsidRPr="009C742C" w:rsidRDefault="00065FC0" w:rsidP="00AE2FE1">
      <w:pPr>
        <w:tabs>
          <w:tab w:val="left" w:pos="301"/>
        </w:tabs>
        <w:jc w:val="both"/>
        <w:rPr>
          <w:rFonts w:ascii="Century Gothic" w:hAnsi="Century Gothic"/>
          <w:color w:val="F79646" w:themeColor="accent6"/>
          <w:sz w:val="19"/>
          <w:szCs w:val="19"/>
        </w:rPr>
      </w:pPr>
      <w:r w:rsidRPr="009C742C">
        <w:rPr>
          <w:rFonts w:ascii="Century Gothic" w:hAnsi="Century Gothic"/>
          <w:color w:val="404040" w:themeColor="text1" w:themeTint="BF"/>
          <w:sz w:val="19"/>
          <w:szCs w:val="19"/>
        </w:rPr>
        <w:t>The Health and Safety Executive’s definition of work-related stress is:</w:t>
      </w:r>
    </w:p>
    <w:p w:rsidR="00065FC0" w:rsidRPr="009C742C" w:rsidRDefault="00065FC0" w:rsidP="00AE2FE1">
      <w:pPr>
        <w:tabs>
          <w:tab w:val="left" w:pos="301"/>
        </w:tabs>
        <w:jc w:val="both"/>
        <w:rPr>
          <w:rFonts w:ascii="Century Gothic" w:hAnsi="Century Gothic"/>
          <w:color w:val="F79646" w:themeColor="accent6"/>
          <w:sz w:val="19"/>
          <w:szCs w:val="19"/>
        </w:rPr>
      </w:pPr>
    </w:p>
    <w:p w:rsidR="00065FC0" w:rsidRPr="009C742C" w:rsidRDefault="00065FC0" w:rsidP="00AE2FE1">
      <w:pPr>
        <w:tabs>
          <w:tab w:val="left" w:pos="301"/>
        </w:tabs>
        <w:jc w:val="both"/>
        <w:rPr>
          <w:rFonts w:ascii="Century Gothic" w:hAnsi="Century Gothic"/>
          <w:color w:val="404040" w:themeColor="text1" w:themeTint="BF"/>
          <w:sz w:val="19"/>
          <w:szCs w:val="19"/>
        </w:rPr>
      </w:pPr>
      <w:r w:rsidRPr="009C742C">
        <w:rPr>
          <w:rFonts w:ascii="Century Gothic" w:hAnsi="Century Gothic"/>
          <w:color w:val="404040" w:themeColor="text1" w:themeTint="BF"/>
          <w:sz w:val="19"/>
          <w:szCs w:val="19"/>
        </w:rPr>
        <w:t>‘The adverse reaction people have to excessive pressures or other types of demand placed on them at work.’</w:t>
      </w:r>
    </w:p>
    <w:p w:rsidR="00065FC0" w:rsidRPr="009C742C" w:rsidRDefault="00065FC0" w:rsidP="00AE2FE1">
      <w:pPr>
        <w:tabs>
          <w:tab w:val="left" w:pos="301"/>
        </w:tabs>
        <w:jc w:val="both"/>
        <w:rPr>
          <w:rFonts w:ascii="Century Gothic" w:hAnsi="Century Gothic"/>
          <w:color w:val="F79646" w:themeColor="accent6"/>
          <w:sz w:val="19"/>
          <w:szCs w:val="19"/>
        </w:rPr>
      </w:pPr>
    </w:p>
    <w:p w:rsidR="009352A5" w:rsidRPr="009C742C" w:rsidRDefault="00065FC0" w:rsidP="00AE2FE1">
      <w:pPr>
        <w:tabs>
          <w:tab w:val="left" w:pos="301"/>
        </w:tabs>
        <w:jc w:val="both"/>
        <w:rPr>
          <w:rFonts w:ascii="Century Gothic" w:hAnsi="Century Gothic"/>
          <w:color w:val="404040" w:themeColor="text1" w:themeTint="BF"/>
          <w:sz w:val="19"/>
          <w:szCs w:val="19"/>
        </w:rPr>
      </w:pPr>
      <w:r w:rsidRPr="009C742C">
        <w:rPr>
          <w:rFonts w:ascii="Century Gothic" w:hAnsi="Century Gothic"/>
          <w:color w:val="404040" w:themeColor="text1" w:themeTint="BF"/>
          <w:sz w:val="19"/>
          <w:szCs w:val="19"/>
        </w:rPr>
        <w:t>If stress becomes too excessive and prolonged, mental and physical illness may develop.</w:t>
      </w: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99"/>
        <w:gridCol w:w="2410"/>
      </w:tblGrid>
      <w:tr w:rsidR="009352A5" w:rsidTr="00AE2FE1">
        <w:tc>
          <w:tcPr>
            <w:tcW w:w="6799" w:type="dxa"/>
          </w:tcPr>
          <w:p w:rsidR="00065FC0" w:rsidRDefault="00AE2FE1" w:rsidP="00AE2FE1">
            <w:pPr>
              <w:ind w:right="317"/>
              <w:rPr>
                <w:rFonts w:ascii="Century Gothic" w:hAnsi="Century Gothic"/>
                <w:color w:val="F79646" w:themeColor="accent6"/>
                <w:sz w:val="22"/>
                <w:szCs w:val="22"/>
              </w:rPr>
            </w:pPr>
            <w:r>
              <w:rPr>
                <w:rFonts w:ascii="Century Gothic" w:hAnsi="Century Gothic"/>
                <w:noProof/>
                <w:color w:val="F79646" w:themeColor="accent6"/>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4237852</wp:posOffset>
                      </wp:positionH>
                      <wp:positionV relativeFrom="paragraph">
                        <wp:posOffset>116426</wp:posOffset>
                      </wp:positionV>
                      <wp:extent cx="1566407" cy="5724939"/>
                      <wp:effectExtent l="0" t="0" r="15240" b="28575"/>
                      <wp:wrapNone/>
                      <wp:docPr id="3" name="Rectangle 3"/>
                      <wp:cNvGraphicFramePr/>
                      <a:graphic xmlns:a="http://schemas.openxmlformats.org/drawingml/2006/main">
                        <a:graphicData uri="http://schemas.microsoft.com/office/word/2010/wordprocessingShape">
                          <wps:wsp>
                            <wps:cNvSpPr/>
                            <wps:spPr>
                              <a:xfrm>
                                <a:off x="0" y="0"/>
                                <a:ext cx="1566407" cy="5724939"/>
                              </a:xfrm>
                              <a:prstGeom prst="rect">
                                <a:avLst/>
                              </a:prstGeom>
                              <a:noFill/>
                              <a:ln w="158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966C42" id="Rectangle 3" o:spid="_x0000_s1026" style="position:absolute;margin-left:333.7pt;margin-top:9.15pt;width:123.35pt;height:45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" filled="f" strokecolor="#f79646 [3209]" strokeweight="1.25pt"/>
                  </w:pict>
                </mc:Fallback>
              </mc:AlternateContent>
            </w:r>
          </w:p>
          <w:p w:rsidR="009352A5" w:rsidRPr="00481421" w:rsidRDefault="00065FC0" w:rsidP="00AE2FE1">
            <w:pPr>
              <w:ind w:right="317"/>
              <w:rPr>
                <w:rFonts w:ascii="Century Gothic" w:hAnsi="Century Gothic"/>
                <w:color w:val="F79646" w:themeColor="accent6"/>
                <w:sz w:val="22"/>
                <w:szCs w:val="22"/>
              </w:rPr>
            </w:pPr>
            <w:r w:rsidRPr="00065FC0">
              <w:rPr>
                <w:rFonts w:ascii="Century Gothic" w:hAnsi="Century Gothic"/>
                <w:color w:val="F79646" w:themeColor="accent6"/>
                <w:sz w:val="22"/>
                <w:szCs w:val="22"/>
              </w:rPr>
              <w:t>Did you know?</w:t>
            </w:r>
          </w:p>
        </w:tc>
        <w:tc>
          <w:tcPr>
            <w:tcW w:w="2410" w:type="dxa"/>
            <w:vMerge w:val="restart"/>
          </w:tcPr>
          <w:p w:rsidR="009352A5" w:rsidRDefault="009352A5" w:rsidP="009352A5">
            <w:pPr>
              <w:rPr>
                <w:rFonts w:ascii="Century Gothic" w:hAnsi="Century Gothic"/>
                <w:color w:val="17365D" w:themeColor="text2" w:themeShade="BF"/>
                <w:sz w:val="16"/>
                <w:szCs w:val="16"/>
              </w:rPr>
            </w:pPr>
          </w:p>
          <w:p w:rsidR="009352A5" w:rsidRPr="00AE2FE1" w:rsidRDefault="00065FC0" w:rsidP="00AE2FE1">
            <w:pPr>
              <w:rPr>
                <w:rFonts w:ascii="Century Gothic" w:hAnsi="Century Gothic"/>
                <w:color w:val="F79646" w:themeColor="accent6"/>
                <w:sz w:val="22"/>
                <w:szCs w:val="22"/>
              </w:rPr>
            </w:pPr>
            <w:r w:rsidRPr="00AE2FE1">
              <w:rPr>
                <w:rFonts w:ascii="Century Gothic" w:hAnsi="Century Gothic"/>
                <w:color w:val="F79646" w:themeColor="accent6"/>
                <w:sz w:val="22"/>
                <w:szCs w:val="22"/>
              </w:rPr>
              <w:t>Case Law</w:t>
            </w:r>
          </w:p>
          <w:p w:rsidR="00065FC0" w:rsidRPr="00CF2E2F" w:rsidRDefault="00065FC0" w:rsidP="009352A5">
            <w:pPr>
              <w:ind w:left="720"/>
              <w:rPr>
                <w:rFonts w:ascii="Century Gothic" w:hAnsi="Century Gothic"/>
                <w:color w:val="38424A"/>
                <w:sz w:val="16"/>
                <w:szCs w:val="16"/>
              </w:rPr>
            </w:pPr>
          </w:p>
          <w:p w:rsidR="00065FC0" w:rsidRPr="00CF2E2F" w:rsidRDefault="00065FC0" w:rsidP="00AE2FE1">
            <w:pPr>
              <w:jc w:val="both"/>
              <w:rPr>
                <w:rFonts w:ascii="Century Gothic" w:hAnsi="Century Gothic"/>
                <w:color w:val="38424A"/>
                <w:sz w:val="16"/>
                <w:szCs w:val="16"/>
              </w:rPr>
            </w:pPr>
            <w:r w:rsidRPr="00CF2E2F">
              <w:rPr>
                <w:rFonts w:ascii="Century Gothic" w:hAnsi="Century Gothic"/>
                <w:color w:val="38424A"/>
                <w:sz w:val="16"/>
                <w:szCs w:val="16"/>
              </w:rPr>
              <w:t>There have been a number of cases in the Civil Courts and still more have been settled out of Court.</w:t>
            </w:r>
          </w:p>
          <w:p w:rsidR="00065FC0" w:rsidRPr="00CF2E2F" w:rsidRDefault="00065FC0" w:rsidP="00AE2FE1">
            <w:pPr>
              <w:jc w:val="both"/>
              <w:rPr>
                <w:rFonts w:ascii="Century Gothic" w:hAnsi="Century Gothic"/>
                <w:color w:val="38424A"/>
                <w:sz w:val="16"/>
                <w:szCs w:val="16"/>
              </w:rPr>
            </w:pPr>
          </w:p>
          <w:p w:rsidR="00065FC0" w:rsidRPr="00CF2E2F" w:rsidRDefault="00065FC0" w:rsidP="00AE2FE1">
            <w:pPr>
              <w:jc w:val="both"/>
              <w:rPr>
                <w:rFonts w:ascii="Century Gothic" w:hAnsi="Century Gothic"/>
                <w:color w:val="38424A"/>
                <w:sz w:val="16"/>
                <w:szCs w:val="16"/>
              </w:rPr>
            </w:pPr>
            <w:r w:rsidRPr="00CF2E2F">
              <w:rPr>
                <w:rFonts w:ascii="Century Gothic" w:hAnsi="Century Gothic"/>
                <w:color w:val="38424A"/>
                <w:sz w:val="16"/>
                <w:szCs w:val="16"/>
              </w:rPr>
              <w:t xml:space="preserve">An employee (a social worker) received compensation for psychiatric damage suffered as a result of work-related stress. The judge ruled that ‘whereas the law on the extent of this duty has developed almost exclusively in cases involving physical injury to the employee as distinct from injury to his mental health, there is no logical reason why risk of psychiatric damage should be excluded from the scope of the duty of care’. </w:t>
            </w:r>
          </w:p>
          <w:p w:rsidR="00065FC0" w:rsidRPr="00CF2E2F" w:rsidRDefault="00065FC0" w:rsidP="00AE2FE1">
            <w:pPr>
              <w:jc w:val="both"/>
              <w:rPr>
                <w:rFonts w:ascii="Century Gothic" w:hAnsi="Century Gothic"/>
                <w:color w:val="38424A"/>
                <w:sz w:val="16"/>
                <w:szCs w:val="16"/>
              </w:rPr>
            </w:pPr>
          </w:p>
          <w:p w:rsidR="009352A5" w:rsidRPr="009352A5" w:rsidRDefault="00065FC0" w:rsidP="00AE2FE1">
            <w:pPr>
              <w:jc w:val="both"/>
              <w:rPr>
                <w:rFonts w:ascii="Century Gothic" w:hAnsi="Century Gothic"/>
                <w:color w:val="17365D" w:themeColor="text2" w:themeShade="BF"/>
                <w:sz w:val="16"/>
                <w:szCs w:val="16"/>
              </w:rPr>
            </w:pPr>
            <w:r w:rsidRPr="00CF2E2F">
              <w:rPr>
                <w:rFonts w:ascii="Century Gothic" w:hAnsi="Century Gothic"/>
                <w:color w:val="38424A"/>
                <w:sz w:val="16"/>
                <w:szCs w:val="16"/>
              </w:rPr>
              <w:t xml:space="preserve">Cases included a council administrative assistant who fell ill with anxiety and depression – she was awarded £157,541 after a County Court judge heard in evidence that she had to work ‘grossly excessive hours’ [Jones v </w:t>
            </w:r>
            <w:proofErr w:type="spellStart"/>
            <w:r w:rsidRPr="00CF2E2F">
              <w:rPr>
                <w:rFonts w:ascii="Century Gothic" w:hAnsi="Century Gothic"/>
                <w:color w:val="38424A"/>
                <w:sz w:val="16"/>
                <w:szCs w:val="16"/>
              </w:rPr>
              <w:t>Sandwell</w:t>
            </w:r>
            <w:proofErr w:type="spellEnd"/>
            <w:r w:rsidRPr="00CF2E2F">
              <w:rPr>
                <w:rFonts w:ascii="Century Gothic" w:hAnsi="Century Gothic"/>
                <w:color w:val="38424A"/>
                <w:sz w:val="16"/>
                <w:szCs w:val="16"/>
              </w:rPr>
              <w:t xml:space="preserve"> Metropolitan District Council]. However, the Courts have held employers not to be liable when reasonable precautions have been taken and the employer could not reasonably know that the employee was particularly susceptible to stress.</w:t>
            </w:r>
          </w:p>
        </w:tc>
      </w:tr>
      <w:tr w:rsidR="009352A5" w:rsidTr="00AE2FE1">
        <w:tc>
          <w:tcPr>
            <w:tcW w:w="6799" w:type="dxa"/>
          </w:tcPr>
          <w:p w:rsidR="009352A5" w:rsidRPr="005216F3" w:rsidRDefault="009352A5" w:rsidP="00AE2FE1">
            <w:pPr>
              <w:ind w:right="317"/>
              <w:rPr>
                <w:rFonts w:ascii="Century Gothic" w:hAnsi="Century Gothic"/>
                <w:color w:val="404040" w:themeColor="text1" w:themeTint="BF"/>
                <w:sz w:val="19"/>
                <w:szCs w:val="19"/>
              </w:rPr>
            </w:pPr>
          </w:p>
          <w:p w:rsidR="00065FC0" w:rsidRPr="00065FC0" w:rsidRDefault="00065FC0" w:rsidP="00AE2FE1">
            <w:pPr>
              <w:pStyle w:val="ListParagraph"/>
              <w:numPr>
                <w:ilvl w:val="0"/>
                <w:numId w:val="1"/>
              </w:numPr>
              <w:ind w:right="317"/>
              <w:jc w:val="both"/>
              <w:rPr>
                <w:rFonts w:ascii="Century Gothic" w:hAnsi="Century Gothic"/>
                <w:color w:val="404040" w:themeColor="text1" w:themeTint="BF"/>
                <w:sz w:val="19"/>
                <w:szCs w:val="19"/>
              </w:rPr>
            </w:pPr>
            <w:r w:rsidRPr="00065FC0">
              <w:rPr>
                <w:rFonts w:ascii="Century Gothic" w:hAnsi="Century Gothic"/>
                <w:color w:val="404040" w:themeColor="text1" w:themeTint="BF"/>
                <w:sz w:val="19"/>
                <w:szCs w:val="19"/>
              </w:rPr>
              <w:t>In 201</w:t>
            </w:r>
            <w:r w:rsidR="009C742C">
              <w:rPr>
                <w:rFonts w:ascii="Century Gothic" w:hAnsi="Century Gothic"/>
                <w:color w:val="404040" w:themeColor="text1" w:themeTint="BF"/>
                <w:sz w:val="19"/>
                <w:szCs w:val="19"/>
              </w:rPr>
              <w:t>4/15, there were an estimated 440</w:t>
            </w:r>
            <w:r w:rsidRPr="00065FC0">
              <w:rPr>
                <w:rFonts w:ascii="Century Gothic" w:hAnsi="Century Gothic"/>
                <w:color w:val="404040" w:themeColor="text1" w:themeTint="BF"/>
                <w:sz w:val="19"/>
                <w:szCs w:val="19"/>
              </w:rPr>
              <w:t xml:space="preserve">,000 cases of </w:t>
            </w:r>
            <w:r w:rsidR="009C742C">
              <w:rPr>
                <w:rFonts w:ascii="Century Gothic" w:hAnsi="Century Gothic"/>
                <w:color w:val="404040" w:themeColor="text1" w:themeTint="BF"/>
                <w:sz w:val="19"/>
                <w:szCs w:val="19"/>
              </w:rPr>
              <w:t xml:space="preserve">stress-related illness (35%) out of a total of 1,243,000 cases for all work related illnesses. </w:t>
            </w:r>
          </w:p>
          <w:p w:rsidR="00065FC0" w:rsidRPr="00065FC0" w:rsidRDefault="00065FC0" w:rsidP="00AE2FE1">
            <w:pPr>
              <w:ind w:right="317"/>
              <w:jc w:val="both"/>
              <w:rPr>
                <w:rFonts w:ascii="Century Gothic" w:hAnsi="Century Gothic"/>
                <w:color w:val="404040" w:themeColor="text1" w:themeTint="BF"/>
                <w:sz w:val="19"/>
                <w:szCs w:val="19"/>
              </w:rPr>
            </w:pPr>
          </w:p>
          <w:p w:rsidR="00065FC0" w:rsidRPr="00065FC0" w:rsidRDefault="00065FC0" w:rsidP="00AE2FE1">
            <w:pPr>
              <w:pStyle w:val="ListParagraph"/>
              <w:numPr>
                <w:ilvl w:val="0"/>
                <w:numId w:val="1"/>
              </w:numPr>
              <w:ind w:right="317"/>
              <w:jc w:val="both"/>
              <w:rPr>
                <w:rFonts w:ascii="Century Gothic" w:hAnsi="Century Gothic"/>
                <w:color w:val="404040" w:themeColor="text1" w:themeTint="BF"/>
                <w:sz w:val="19"/>
                <w:szCs w:val="19"/>
              </w:rPr>
            </w:pPr>
            <w:r w:rsidRPr="00065FC0">
              <w:rPr>
                <w:rFonts w:ascii="Century Gothic" w:hAnsi="Century Gothic"/>
                <w:color w:val="404040" w:themeColor="text1" w:themeTint="BF"/>
                <w:sz w:val="19"/>
                <w:szCs w:val="19"/>
              </w:rPr>
              <w:t>1 in 6 workers suffer from work-related stress</w:t>
            </w:r>
            <w:r w:rsidR="009C742C">
              <w:rPr>
                <w:rFonts w:ascii="Century Gothic" w:hAnsi="Century Gothic"/>
                <w:color w:val="404040" w:themeColor="text1" w:themeTint="BF"/>
                <w:sz w:val="19"/>
                <w:szCs w:val="19"/>
              </w:rPr>
              <w:t>.</w:t>
            </w:r>
          </w:p>
          <w:p w:rsidR="00065FC0" w:rsidRPr="00065FC0" w:rsidRDefault="00065FC0" w:rsidP="00AE2FE1">
            <w:pPr>
              <w:ind w:right="317"/>
              <w:jc w:val="both"/>
              <w:rPr>
                <w:rFonts w:ascii="Century Gothic" w:hAnsi="Century Gothic"/>
                <w:color w:val="404040" w:themeColor="text1" w:themeTint="BF"/>
                <w:sz w:val="19"/>
                <w:szCs w:val="19"/>
              </w:rPr>
            </w:pPr>
          </w:p>
          <w:p w:rsidR="00065FC0" w:rsidRDefault="009C742C" w:rsidP="00AE2FE1">
            <w:pPr>
              <w:pStyle w:val="ListParagraph"/>
              <w:numPr>
                <w:ilvl w:val="0"/>
                <w:numId w:val="1"/>
              </w:numPr>
              <w:ind w:right="317"/>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N</w:t>
            </w:r>
            <w:r w:rsidR="00065FC0" w:rsidRPr="00065FC0">
              <w:rPr>
                <w:rFonts w:ascii="Century Gothic" w:hAnsi="Century Gothic"/>
                <w:color w:val="404040" w:themeColor="text1" w:themeTint="BF"/>
                <w:sz w:val="19"/>
                <w:szCs w:val="19"/>
              </w:rPr>
              <w:t>early half a million people in Britain believe stress makes them ill</w:t>
            </w:r>
            <w:r>
              <w:rPr>
                <w:rFonts w:ascii="Century Gothic" w:hAnsi="Century Gothic"/>
                <w:color w:val="404040" w:themeColor="text1" w:themeTint="BF"/>
                <w:sz w:val="19"/>
                <w:szCs w:val="19"/>
              </w:rPr>
              <w:t>.</w:t>
            </w:r>
          </w:p>
          <w:p w:rsidR="00B973C5" w:rsidRPr="00B973C5" w:rsidRDefault="00B973C5" w:rsidP="00AE2FE1">
            <w:pPr>
              <w:ind w:right="317"/>
              <w:jc w:val="both"/>
              <w:rPr>
                <w:rFonts w:ascii="Century Gothic" w:hAnsi="Century Gothic"/>
                <w:color w:val="404040" w:themeColor="text1" w:themeTint="BF"/>
                <w:sz w:val="19"/>
                <w:szCs w:val="19"/>
              </w:rPr>
            </w:pPr>
          </w:p>
          <w:p w:rsidR="00065FC0" w:rsidRDefault="009C742C" w:rsidP="00AE2FE1">
            <w:pPr>
              <w:pStyle w:val="ListParagraph"/>
              <w:numPr>
                <w:ilvl w:val="0"/>
                <w:numId w:val="1"/>
              </w:numPr>
              <w:ind w:right="317"/>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S</w:t>
            </w:r>
            <w:r w:rsidR="00065FC0" w:rsidRPr="00065FC0">
              <w:rPr>
                <w:rFonts w:ascii="Century Gothic" w:hAnsi="Century Gothic"/>
                <w:color w:val="404040" w:themeColor="text1" w:themeTint="BF"/>
                <w:sz w:val="19"/>
                <w:szCs w:val="19"/>
              </w:rPr>
              <w:t>tress-related ill health leads to an average of 2</w:t>
            </w:r>
            <w:r>
              <w:rPr>
                <w:rFonts w:ascii="Century Gothic" w:hAnsi="Century Gothic"/>
                <w:color w:val="404040" w:themeColor="text1" w:themeTint="BF"/>
                <w:sz w:val="19"/>
                <w:szCs w:val="19"/>
              </w:rPr>
              <w:t>3</w:t>
            </w:r>
            <w:r w:rsidR="00065FC0" w:rsidRPr="00065FC0">
              <w:rPr>
                <w:rFonts w:ascii="Century Gothic" w:hAnsi="Century Gothic"/>
                <w:color w:val="404040" w:themeColor="text1" w:themeTint="BF"/>
                <w:sz w:val="19"/>
                <w:szCs w:val="19"/>
              </w:rPr>
              <w:t xml:space="preserve"> days off work</w:t>
            </w:r>
            <w:r>
              <w:rPr>
                <w:rFonts w:ascii="Century Gothic" w:hAnsi="Century Gothic"/>
                <w:color w:val="404040" w:themeColor="text1" w:themeTint="BF"/>
                <w:sz w:val="19"/>
                <w:szCs w:val="19"/>
              </w:rPr>
              <w:t>.</w:t>
            </w:r>
          </w:p>
          <w:p w:rsidR="00B973C5" w:rsidRPr="00B973C5" w:rsidRDefault="00B973C5" w:rsidP="00AE2FE1">
            <w:pPr>
              <w:ind w:right="317"/>
              <w:jc w:val="both"/>
              <w:rPr>
                <w:rFonts w:ascii="Century Gothic" w:hAnsi="Century Gothic"/>
                <w:color w:val="404040" w:themeColor="text1" w:themeTint="BF"/>
                <w:sz w:val="19"/>
                <w:szCs w:val="19"/>
              </w:rPr>
            </w:pPr>
          </w:p>
          <w:p w:rsidR="00065FC0" w:rsidRPr="00065FC0" w:rsidRDefault="009C742C" w:rsidP="00AE2FE1">
            <w:pPr>
              <w:pStyle w:val="ListParagraph"/>
              <w:numPr>
                <w:ilvl w:val="0"/>
                <w:numId w:val="1"/>
              </w:numPr>
              <w:ind w:right="317"/>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P</w:t>
            </w:r>
            <w:r w:rsidR="00065FC0" w:rsidRPr="00065FC0">
              <w:rPr>
                <w:rFonts w:ascii="Century Gothic" w:hAnsi="Century Gothic"/>
                <w:color w:val="404040" w:themeColor="text1" w:themeTint="BF"/>
                <w:sz w:val="19"/>
                <w:szCs w:val="19"/>
              </w:rPr>
              <w:t>oor work design, e.g. where an employee has little or no control over the work they do or where there is little support from managers or colleagues, has been shown to have a real impact on staff performance and reliability, even before an individual takes time off</w:t>
            </w:r>
            <w:r>
              <w:rPr>
                <w:rFonts w:ascii="Century Gothic" w:hAnsi="Century Gothic"/>
                <w:color w:val="404040" w:themeColor="text1" w:themeTint="BF"/>
                <w:sz w:val="19"/>
                <w:szCs w:val="19"/>
              </w:rPr>
              <w:t>.</w:t>
            </w:r>
          </w:p>
          <w:p w:rsidR="00065FC0" w:rsidRPr="00065FC0" w:rsidRDefault="00065FC0" w:rsidP="00AE2FE1">
            <w:pPr>
              <w:ind w:right="317"/>
              <w:jc w:val="both"/>
              <w:rPr>
                <w:rFonts w:ascii="Century Gothic" w:hAnsi="Century Gothic"/>
                <w:color w:val="404040" w:themeColor="text1" w:themeTint="BF"/>
                <w:sz w:val="19"/>
                <w:szCs w:val="19"/>
              </w:rPr>
            </w:pPr>
          </w:p>
          <w:p w:rsidR="009352A5" w:rsidRPr="00065FC0" w:rsidRDefault="009C742C" w:rsidP="00AE2FE1">
            <w:pPr>
              <w:pStyle w:val="ListParagraph"/>
              <w:numPr>
                <w:ilvl w:val="0"/>
                <w:numId w:val="1"/>
              </w:numPr>
              <w:ind w:right="317"/>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9.9</w:t>
            </w:r>
            <w:r w:rsidR="00065FC0" w:rsidRPr="00065FC0">
              <w:rPr>
                <w:rFonts w:ascii="Century Gothic" w:hAnsi="Century Gothic"/>
                <w:color w:val="404040" w:themeColor="text1" w:themeTint="BF"/>
                <w:sz w:val="19"/>
                <w:szCs w:val="19"/>
              </w:rPr>
              <w:t xml:space="preserve"> million </w:t>
            </w:r>
            <w:proofErr w:type="gramStart"/>
            <w:r w:rsidR="00065FC0" w:rsidRPr="00065FC0">
              <w:rPr>
                <w:rFonts w:ascii="Century Gothic" w:hAnsi="Century Gothic"/>
                <w:color w:val="404040" w:themeColor="text1" w:themeTint="BF"/>
                <w:sz w:val="19"/>
                <w:szCs w:val="19"/>
              </w:rPr>
              <w:t>working</w:t>
            </w:r>
            <w:proofErr w:type="gramEnd"/>
            <w:r w:rsidR="00065FC0" w:rsidRPr="00065FC0">
              <w:rPr>
                <w:rFonts w:ascii="Century Gothic" w:hAnsi="Century Gothic"/>
                <w:color w:val="404040" w:themeColor="text1" w:themeTint="BF"/>
                <w:sz w:val="19"/>
                <w:szCs w:val="19"/>
              </w:rPr>
              <w:t xml:space="preserve"> days are lost annually costing the economy over £3 billion.</w:t>
            </w:r>
          </w:p>
          <w:p w:rsidR="009352A5" w:rsidRPr="009352A5" w:rsidRDefault="009352A5" w:rsidP="00AE2FE1">
            <w:pPr>
              <w:ind w:right="317"/>
              <w:rPr>
                <w:rFonts w:ascii="Century Gothic" w:hAnsi="Century Gothic"/>
                <w:color w:val="404040" w:themeColor="text1" w:themeTint="BF"/>
                <w:sz w:val="20"/>
                <w:szCs w:val="20"/>
              </w:rPr>
            </w:pPr>
          </w:p>
        </w:tc>
        <w:tc>
          <w:tcPr>
            <w:tcW w:w="2410" w:type="dxa"/>
            <w:vMerge/>
          </w:tcPr>
          <w:p w:rsidR="009352A5" w:rsidRDefault="009352A5" w:rsidP="009352A5">
            <w:pPr>
              <w:rPr>
                <w:rFonts w:ascii="Century Gothic" w:hAnsi="Century Gothic"/>
                <w:color w:val="E36C0A" w:themeColor="accent6" w:themeShade="BF"/>
                <w:sz w:val="20"/>
                <w:szCs w:val="20"/>
              </w:rPr>
            </w:pPr>
          </w:p>
        </w:tc>
      </w:tr>
      <w:tr w:rsidR="009352A5" w:rsidTr="00AE2FE1">
        <w:tc>
          <w:tcPr>
            <w:tcW w:w="6799" w:type="dxa"/>
          </w:tcPr>
          <w:p w:rsidR="009352A5" w:rsidRPr="00481421" w:rsidRDefault="00065FC0" w:rsidP="00AE2FE1">
            <w:pPr>
              <w:ind w:right="317"/>
              <w:rPr>
                <w:rFonts w:ascii="Century Gothic" w:hAnsi="Century Gothic"/>
                <w:color w:val="F79646" w:themeColor="accent6"/>
                <w:sz w:val="22"/>
                <w:szCs w:val="22"/>
              </w:rPr>
            </w:pPr>
            <w:r w:rsidRPr="00065FC0">
              <w:rPr>
                <w:rFonts w:ascii="Century Gothic" w:hAnsi="Century Gothic"/>
                <w:color w:val="F79646" w:themeColor="accent6"/>
                <w:sz w:val="22"/>
                <w:szCs w:val="22"/>
              </w:rPr>
              <w:t>Effects of work-related stress:</w:t>
            </w:r>
          </w:p>
        </w:tc>
        <w:tc>
          <w:tcPr>
            <w:tcW w:w="2410" w:type="dxa"/>
            <w:vMerge/>
          </w:tcPr>
          <w:p w:rsidR="009352A5" w:rsidRDefault="009352A5" w:rsidP="009352A5">
            <w:pPr>
              <w:rPr>
                <w:rFonts w:ascii="Century Gothic" w:hAnsi="Century Gothic"/>
                <w:color w:val="E36C0A" w:themeColor="accent6" w:themeShade="BF"/>
                <w:sz w:val="20"/>
                <w:szCs w:val="20"/>
              </w:rPr>
            </w:pPr>
          </w:p>
        </w:tc>
      </w:tr>
      <w:tr w:rsidR="009352A5" w:rsidTr="00AE2FE1">
        <w:tc>
          <w:tcPr>
            <w:tcW w:w="6799" w:type="dxa"/>
          </w:tcPr>
          <w:p w:rsidR="009352A5" w:rsidRDefault="009352A5" w:rsidP="00AE2FE1">
            <w:pPr>
              <w:ind w:right="317"/>
              <w:rPr>
                <w:rFonts w:ascii="Century Gothic" w:hAnsi="Century Gothic"/>
                <w:color w:val="404040" w:themeColor="text1" w:themeTint="BF"/>
                <w:sz w:val="20"/>
                <w:szCs w:val="20"/>
              </w:rPr>
            </w:pPr>
          </w:p>
          <w:p w:rsidR="00065FC0" w:rsidRPr="00065FC0" w:rsidRDefault="009C742C" w:rsidP="00AE2FE1">
            <w:pPr>
              <w:pStyle w:val="ListParagraph"/>
              <w:numPr>
                <w:ilvl w:val="0"/>
                <w:numId w:val="3"/>
              </w:numPr>
              <w:ind w:right="317"/>
              <w:rPr>
                <w:rFonts w:ascii="Century Gothic" w:hAnsi="Century Gothic"/>
                <w:color w:val="404040" w:themeColor="text1" w:themeTint="BF"/>
                <w:sz w:val="19"/>
                <w:szCs w:val="19"/>
              </w:rPr>
            </w:pPr>
            <w:r>
              <w:rPr>
                <w:rFonts w:ascii="Century Gothic" w:hAnsi="Century Gothic"/>
                <w:color w:val="404040" w:themeColor="text1" w:themeTint="BF"/>
                <w:sz w:val="19"/>
                <w:szCs w:val="19"/>
              </w:rPr>
              <w:t>S</w:t>
            </w:r>
            <w:r w:rsidR="00065FC0" w:rsidRPr="00065FC0">
              <w:rPr>
                <w:rFonts w:ascii="Century Gothic" w:hAnsi="Century Gothic"/>
                <w:color w:val="404040" w:themeColor="text1" w:themeTint="BF"/>
                <w:sz w:val="19"/>
                <w:szCs w:val="19"/>
              </w:rPr>
              <w:t>taff absence and loss of productivity with a financial impact</w:t>
            </w:r>
            <w:r>
              <w:rPr>
                <w:rFonts w:ascii="Century Gothic" w:hAnsi="Century Gothic"/>
                <w:color w:val="404040" w:themeColor="text1" w:themeTint="BF"/>
                <w:sz w:val="19"/>
                <w:szCs w:val="19"/>
              </w:rPr>
              <w:t>.</w:t>
            </w:r>
          </w:p>
          <w:p w:rsidR="00065FC0" w:rsidRPr="00065FC0" w:rsidRDefault="00065FC0" w:rsidP="00AE2FE1">
            <w:pPr>
              <w:ind w:right="317"/>
              <w:rPr>
                <w:rFonts w:ascii="Century Gothic" w:hAnsi="Century Gothic"/>
                <w:color w:val="404040" w:themeColor="text1" w:themeTint="BF"/>
                <w:sz w:val="19"/>
                <w:szCs w:val="19"/>
              </w:rPr>
            </w:pPr>
          </w:p>
          <w:p w:rsidR="00065FC0" w:rsidRPr="00065FC0" w:rsidRDefault="009C742C" w:rsidP="00AE2FE1">
            <w:pPr>
              <w:pStyle w:val="ListParagraph"/>
              <w:numPr>
                <w:ilvl w:val="0"/>
                <w:numId w:val="3"/>
              </w:numPr>
              <w:ind w:right="317"/>
              <w:rPr>
                <w:rFonts w:ascii="Century Gothic" w:hAnsi="Century Gothic"/>
                <w:color w:val="404040" w:themeColor="text1" w:themeTint="BF"/>
                <w:sz w:val="19"/>
                <w:szCs w:val="19"/>
              </w:rPr>
            </w:pPr>
            <w:r>
              <w:rPr>
                <w:rFonts w:ascii="Century Gothic" w:hAnsi="Century Gothic"/>
                <w:color w:val="404040" w:themeColor="text1" w:themeTint="BF"/>
                <w:sz w:val="19"/>
                <w:szCs w:val="19"/>
              </w:rPr>
              <w:t>A</w:t>
            </w:r>
            <w:r w:rsidR="00065FC0" w:rsidRPr="00065FC0">
              <w:rPr>
                <w:rFonts w:ascii="Century Gothic" w:hAnsi="Century Gothic"/>
                <w:color w:val="404040" w:themeColor="text1" w:themeTint="BF"/>
                <w:sz w:val="19"/>
                <w:szCs w:val="19"/>
              </w:rPr>
              <w:t>dverse impact on staff retention and recruitment, causing additional costs</w:t>
            </w:r>
            <w:r>
              <w:rPr>
                <w:rFonts w:ascii="Century Gothic" w:hAnsi="Century Gothic"/>
                <w:color w:val="404040" w:themeColor="text1" w:themeTint="BF"/>
                <w:sz w:val="19"/>
                <w:szCs w:val="19"/>
              </w:rPr>
              <w:t>.</w:t>
            </w:r>
          </w:p>
          <w:p w:rsidR="00065FC0" w:rsidRPr="00065FC0" w:rsidRDefault="00065FC0" w:rsidP="00AE2FE1">
            <w:pPr>
              <w:ind w:right="317"/>
              <w:rPr>
                <w:rFonts w:ascii="Century Gothic" w:hAnsi="Century Gothic"/>
                <w:color w:val="404040" w:themeColor="text1" w:themeTint="BF"/>
                <w:sz w:val="19"/>
                <w:szCs w:val="19"/>
              </w:rPr>
            </w:pPr>
          </w:p>
          <w:p w:rsidR="009352A5" w:rsidRPr="00065FC0" w:rsidRDefault="009C742C" w:rsidP="009C742C">
            <w:pPr>
              <w:pStyle w:val="ListParagraph"/>
              <w:numPr>
                <w:ilvl w:val="0"/>
                <w:numId w:val="3"/>
              </w:numPr>
              <w:ind w:right="317"/>
              <w:rPr>
                <w:rFonts w:ascii="Century Gothic" w:hAnsi="Century Gothic"/>
                <w:color w:val="404040" w:themeColor="text1" w:themeTint="BF"/>
                <w:sz w:val="19"/>
                <w:szCs w:val="19"/>
              </w:rPr>
            </w:pPr>
            <w:r>
              <w:rPr>
                <w:rFonts w:ascii="Century Gothic" w:hAnsi="Century Gothic"/>
                <w:color w:val="404040" w:themeColor="text1" w:themeTint="BF"/>
                <w:sz w:val="19"/>
                <w:szCs w:val="19"/>
              </w:rPr>
              <w:t>E</w:t>
            </w:r>
            <w:r w:rsidR="00065FC0" w:rsidRPr="00065FC0">
              <w:rPr>
                <w:rFonts w:ascii="Century Gothic" w:hAnsi="Century Gothic"/>
                <w:color w:val="404040" w:themeColor="text1" w:themeTint="BF"/>
                <w:sz w:val="19"/>
                <w:szCs w:val="19"/>
              </w:rPr>
              <w:t>mployers</w:t>
            </w:r>
            <w:r>
              <w:rPr>
                <w:rFonts w:ascii="Century Gothic" w:hAnsi="Century Gothic"/>
                <w:color w:val="404040" w:themeColor="text1" w:themeTint="BF"/>
                <w:sz w:val="19"/>
                <w:szCs w:val="19"/>
              </w:rPr>
              <w:t>’</w:t>
            </w:r>
            <w:r w:rsidR="00065FC0" w:rsidRPr="00065FC0">
              <w:rPr>
                <w:rFonts w:ascii="Century Gothic" w:hAnsi="Century Gothic"/>
                <w:color w:val="404040" w:themeColor="text1" w:themeTint="BF"/>
                <w:sz w:val="19"/>
                <w:szCs w:val="19"/>
              </w:rPr>
              <w:t xml:space="preserve"> liability insurance premiums may increase; in severe cases litigation by those experiencing the stress.</w:t>
            </w:r>
          </w:p>
        </w:tc>
        <w:tc>
          <w:tcPr>
            <w:tcW w:w="2410" w:type="dxa"/>
            <w:vMerge/>
          </w:tcPr>
          <w:p w:rsidR="009352A5" w:rsidRDefault="009352A5" w:rsidP="009352A5">
            <w:pPr>
              <w:rPr>
                <w:rFonts w:ascii="Century Gothic" w:hAnsi="Century Gothic"/>
                <w:color w:val="E36C0A" w:themeColor="accent6" w:themeShade="BF"/>
                <w:sz w:val="20"/>
                <w:szCs w:val="20"/>
              </w:rPr>
            </w:pPr>
          </w:p>
        </w:tc>
      </w:tr>
    </w:tbl>
    <w:p w:rsidR="009352A5" w:rsidRDefault="009352A5" w:rsidP="009352A5">
      <w:pPr>
        <w:rPr>
          <w:rFonts w:ascii="Century Gothic" w:hAnsi="Century Gothic"/>
          <w:color w:val="E36C0A" w:themeColor="accent6" w:themeShade="BF"/>
          <w:sz w:val="20"/>
          <w:szCs w:val="20"/>
        </w:rPr>
      </w:pPr>
    </w:p>
    <w:p w:rsidR="009352A5" w:rsidRDefault="009352A5" w:rsidP="009352A5">
      <w:pPr>
        <w:rPr>
          <w:rFonts w:ascii="Century Gothic" w:hAnsi="Century Gothic"/>
          <w:color w:val="E36C0A" w:themeColor="accent6" w:themeShade="BF"/>
          <w:sz w:val="20"/>
          <w:szCs w:val="20"/>
        </w:rPr>
      </w:pPr>
    </w:p>
    <w:p w:rsidR="005216F3" w:rsidRDefault="005216F3" w:rsidP="009352A5">
      <w:pPr>
        <w:rPr>
          <w:rFonts w:ascii="Century Gothic" w:hAnsi="Century Gothic"/>
          <w:color w:val="E36C0A" w:themeColor="accent6" w:themeShade="BF"/>
          <w:sz w:val="20"/>
          <w:szCs w:val="20"/>
        </w:rPr>
      </w:pPr>
    </w:p>
    <w:p w:rsidR="005216F3" w:rsidRDefault="005216F3" w:rsidP="009352A5">
      <w:pPr>
        <w:rPr>
          <w:rFonts w:ascii="Century Gothic" w:hAnsi="Century Gothic"/>
          <w:color w:val="E36C0A" w:themeColor="accent6" w:themeShade="BF"/>
          <w:sz w:val="20"/>
          <w:szCs w:val="20"/>
        </w:rPr>
      </w:pPr>
    </w:p>
    <w:p w:rsidR="00065FC0" w:rsidRDefault="00065FC0" w:rsidP="009352A5">
      <w:pPr>
        <w:rPr>
          <w:rFonts w:ascii="Century Gothic" w:hAnsi="Century Gothic"/>
          <w:color w:val="E36C0A" w:themeColor="accent6" w:themeShade="BF"/>
          <w:sz w:val="20"/>
          <w:szCs w:val="20"/>
        </w:rPr>
      </w:pPr>
    </w:p>
    <w:p w:rsidR="00065FC0" w:rsidRDefault="00065FC0" w:rsidP="009352A5">
      <w:pPr>
        <w:rPr>
          <w:rFonts w:ascii="Century Gothic" w:hAnsi="Century Gothic"/>
          <w:color w:val="E36C0A" w:themeColor="accent6" w:themeShade="BF"/>
          <w:sz w:val="20"/>
          <w:szCs w:val="20"/>
        </w:rPr>
      </w:pPr>
    </w:p>
    <w:p w:rsidR="00065FC0" w:rsidRDefault="00065FC0" w:rsidP="009352A5">
      <w:pPr>
        <w:rPr>
          <w:rFonts w:ascii="Century Gothic" w:hAnsi="Century Gothic"/>
          <w:color w:val="E36C0A" w:themeColor="accent6" w:themeShade="BF"/>
          <w:sz w:val="20"/>
          <w:szCs w:val="20"/>
        </w:rPr>
      </w:pPr>
    </w:p>
    <w:p w:rsidR="00065FC0" w:rsidRDefault="00065FC0" w:rsidP="009352A5">
      <w:pPr>
        <w:rPr>
          <w:rFonts w:ascii="Century Gothic" w:hAnsi="Century Gothic"/>
          <w:color w:val="E36C0A" w:themeColor="accent6" w:themeShade="BF"/>
          <w:sz w:val="20"/>
          <w:szCs w:val="20"/>
        </w:rPr>
      </w:pPr>
    </w:p>
    <w:p w:rsidR="00065FC0" w:rsidRDefault="00065FC0" w:rsidP="009352A5">
      <w:pPr>
        <w:rPr>
          <w:rFonts w:ascii="Century Gothic" w:hAnsi="Century Gothic"/>
          <w:color w:val="E36C0A" w:themeColor="accent6" w:themeShade="BF"/>
          <w:sz w:val="20"/>
          <w:szCs w:val="20"/>
        </w:rPr>
      </w:pPr>
    </w:p>
    <w:p w:rsidR="00065FC0" w:rsidRDefault="00065FC0" w:rsidP="009352A5">
      <w:pPr>
        <w:rPr>
          <w:rFonts w:ascii="Century Gothic" w:hAnsi="Century Gothic"/>
          <w:color w:val="E36C0A" w:themeColor="accent6" w:themeShade="BF"/>
          <w:sz w:val="20"/>
          <w:szCs w:val="20"/>
        </w:rPr>
      </w:pPr>
    </w:p>
    <w:p w:rsidR="009352A5" w:rsidRDefault="00AE2FE1" w:rsidP="009352A5">
      <w:pPr>
        <w:rPr>
          <w:rFonts w:ascii="Century Gothic" w:hAnsi="Century Gothic"/>
          <w:color w:val="E36C0A" w:themeColor="accent6" w:themeShade="BF"/>
          <w:sz w:val="20"/>
          <w:szCs w:val="20"/>
        </w:rPr>
      </w:pPr>
      <w:r>
        <w:rPr>
          <w:rFonts w:ascii="Century Gothic" w:hAnsi="Century Gothic"/>
          <w:noProof/>
          <w:color w:val="E36C0A" w:themeColor="accent6" w:themeShade="B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4349363</wp:posOffset>
                </wp:positionH>
                <wp:positionV relativeFrom="paragraph">
                  <wp:posOffset>106818</wp:posOffset>
                </wp:positionV>
                <wp:extent cx="1486894" cy="3681454"/>
                <wp:effectExtent l="0" t="0" r="18415" b="14605"/>
                <wp:wrapNone/>
                <wp:docPr id="1" name="Text Box 1"/>
                <wp:cNvGraphicFramePr/>
                <a:graphic xmlns:a="http://schemas.openxmlformats.org/drawingml/2006/main">
                  <a:graphicData uri="http://schemas.microsoft.com/office/word/2010/wordprocessingShape">
                    <wps:wsp>
                      <wps:cNvSpPr txBox="1"/>
                      <wps:spPr>
                        <a:xfrm>
                          <a:off x="0" y="0"/>
                          <a:ext cx="1486894" cy="3681454"/>
                        </a:xfrm>
                        <a:prstGeom prst="rect">
                          <a:avLst/>
                        </a:prstGeom>
                        <a:solidFill>
                          <a:schemeClr val="lt1"/>
                        </a:solidFill>
                        <a:ln w="15875">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263"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tblGrid>
                            <w:tr w:rsidR="00AE2FE1" w:rsidRPr="005216F3" w:rsidTr="00AE2FE1">
                              <w:tc>
                                <w:tcPr>
                                  <w:tcW w:w="2263" w:type="dxa"/>
                                </w:tcPr>
                                <w:p w:rsidR="00AE2FE1" w:rsidRDefault="00AE2FE1" w:rsidP="00AE2FE1">
                                  <w:pPr>
                                    <w:ind w:left="-255" w:firstLine="255"/>
                                    <w:rPr>
                                      <w:rFonts w:ascii="Century Gothic" w:hAnsi="Century Gothic"/>
                                      <w:color w:val="F79646" w:themeColor="accent6"/>
                                      <w:sz w:val="22"/>
                                      <w:szCs w:val="22"/>
                                    </w:rPr>
                                  </w:pPr>
                                  <w:r w:rsidRPr="00065FC0">
                                    <w:rPr>
                                      <w:rFonts w:ascii="Century Gothic" w:hAnsi="Century Gothic"/>
                                      <w:color w:val="F79646" w:themeColor="accent6"/>
                                      <w:sz w:val="22"/>
                                      <w:szCs w:val="22"/>
                                    </w:rPr>
                                    <w:t>Legal duties</w:t>
                                  </w:r>
                                </w:p>
                                <w:p w:rsidR="00AE2FE1" w:rsidRPr="00AE2FE1" w:rsidRDefault="00AE2FE1" w:rsidP="00AE2FE1">
                                  <w:pPr>
                                    <w:ind w:left="-255" w:firstLine="255"/>
                                    <w:rPr>
                                      <w:rFonts w:ascii="Century Gothic" w:hAnsi="Century Gothic"/>
                                      <w:color w:val="E36C0A" w:themeColor="accent6" w:themeShade="BF"/>
                                      <w:sz w:val="16"/>
                                      <w:szCs w:val="16"/>
                                    </w:rPr>
                                  </w:pPr>
                                </w:p>
                              </w:tc>
                            </w:tr>
                            <w:tr w:rsidR="00AE2FE1" w:rsidRPr="00B973C5" w:rsidTr="00AE2FE1">
                              <w:tc>
                                <w:tcPr>
                                  <w:tcW w:w="2263" w:type="dxa"/>
                                </w:tcPr>
                                <w:p w:rsidR="00AE2FE1" w:rsidRPr="005C28B4" w:rsidRDefault="00AE2FE1" w:rsidP="00AE2FE1">
                                  <w:pPr>
                                    <w:ind w:left="29" w:hanging="29"/>
                                    <w:jc w:val="both"/>
                                    <w:rPr>
                                      <w:rFonts w:ascii="Century Gothic" w:hAnsi="Century Gothic"/>
                                      <w:color w:val="404040" w:themeColor="text1" w:themeTint="BF"/>
                                      <w:sz w:val="16"/>
                                      <w:szCs w:val="16"/>
                                    </w:rPr>
                                  </w:pPr>
                                  <w:r w:rsidRPr="005C28B4">
                                    <w:rPr>
                                      <w:rFonts w:ascii="Century Gothic" w:hAnsi="Century Gothic"/>
                                      <w:color w:val="404040" w:themeColor="text1" w:themeTint="BF"/>
                                      <w:sz w:val="16"/>
                                      <w:szCs w:val="16"/>
                                    </w:rPr>
                                    <w:t>The prevention of stress is included in the general duty of care that an employer has to his or her employees:</w:t>
                                  </w:r>
                                </w:p>
                                <w:p w:rsidR="00AE2FE1" w:rsidRPr="005C28B4" w:rsidRDefault="00AE2FE1" w:rsidP="00AE2FE1">
                                  <w:pPr>
                                    <w:ind w:left="29" w:hanging="29"/>
                                    <w:jc w:val="both"/>
                                    <w:rPr>
                                      <w:rFonts w:ascii="Century Gothic" w:hAnsi="Century Gothic"/>
                                      <w:color w:val="404040" w:themeColor="text1" w:themeTint="BF"/>
                                      <w:sz w:val="16"/>
                                      <w:szCs w:val="16"/>
                                    </w:rPr>
                                  </w:pPr>
                                </w:p>
                                <w:p w:rsidR="00AE2FE1" w:rsidRPr="005C28B4" w:rsidRDefault="00AE2FE1" w:rsidP="00AE2FE1">
                                  <w:pPr>
                                    <w:ind w:left="29" w:hanging="29"/>
                                    <w:jc w:val="both"/>
                                    <w:rPr>
                                      <w:rFonts w:ascii="Century Gothic" w:hAnsi="Century Gothic"/>
                                      <w:color w:val="404040" w:themeColor="text1" w:themeTint="BF"/>
                                      <w:sz w:val="16"/>
                                      <w:szCs w:val="16"/>
                                    </w:rPr>
                                  </w:pPr>
                                  <w:r w:rsidRPr="005C28B4">
                                    <w:rPr>
                                      <w:rFonts w:ascii="Century Gothic" w:hAnsi="Century Gothic"/>
                                      <w:color w:val="404040" w:themeColor="text1" w:themeTint="BF"/>
                                      <w:sz w:val="16"/>
                                      <w:szCs w:val="16"/>
                                    </w:rPr>
                                    <w:t xml:space="preserve">• the Health and Safety at Work </w:t>
                                  </w:r>
                                  <w:proofErr w:type="spellStart"/>
                                  <w:r w:rsidRPr="005C28B4">
                                    <w:rPr>
                                      <w:rFonts w:ascii="Century Gothic" w:hAnsi="Century Gothic"/>
                                      <w:color w:val="404040" w:themeColor="text1" w:themeTint="BF"/>
                                      <w:sz w:val="16"/>
                                      <w:szCs w:val="16"/>
                                    </w:rPr>
                                    <w:t>etc</w:t>
                                  </w:r>
                                  <w:proofErr w:type="spellEnd"/>
                                  <w:r w:rsidRPr="005C28B4">
                                    <w:rPr>
                                      <w:rFonts w:ascii="Century Gothic" w:hAnsi="Century Gothic"/>
                                      <w:color w:val="404040" w:themeColor="text1" w:themeTint="BF"/>
                                      <w:sz w:val="16"/>
                                      <w:szCs w:val="16"/>
                                    </w:rPr>
                                    <w:t xml:space="preserve"> Act 1974; ‘health’ includes mental health</w:t>
                                  </w:r>
                                </w:p>
                                <w:p w:rsidR="00AE2FE1" w:rsidRPr="005C28B4" w:rsidRDefault="00AE2FE1" w:rsidP="00AE2FE1">
                                  <w:pPr>
                                    <w:ind w:left="29" w:hanging="29"/>
                                    <w:jc w:val="both"/>
                                    <w:rPr>
                                      <w:rFonts w:ascii="Century Gothic" w:hAnsi="Century Gothic"/>
                                      <w:color w:val="404040" w:themeColor="text1" w:themeTint="BF"/>
                                      <w:sz w:val="16"/>
                                      <w:szCs w:val="16"/>
                                    </w:rPr>
                                  </w:pPr>
                                </w:p>
                                <w:p w:rsidR="00AE2FE1" w:rsidRPr="005C28B4" w:rsidRDefault="00AE2FE1" w:rsidP="00AE2FE1">
                                  <w:pPr>
                                    <w:ind w:left="29" w:hanging="29"/>
                                    <w:jc w:val="both"/>
                                    <w:rPr>
                                      <w:rFonts w:ascii="Century Gothic" w:hAnsi="Century Gothic"/>
                                      <w:color w:val="404040" w:themeColor="text1" w:themeTint="BF"/>
                                      <w:sz w:val="16"/>
                                      <w:szCs w:val="16"/>
                                    </w:rPr>
                                  </w:pPr>
                                  <w:r w:rsidRPr="005C28B4">
                                    <w:rPr>
                                      <w:rFonts w:ascii="Century Gothic" w:hAnsi="Century Gothic"/>
                                      <w:color w:val="404040" w:themeColor="text1" w:themeTint="BF"/>
                                      <w:sz w:val="16"/>
                                      <w:szCs w:val="16"/>
                                    </w:rPr>
                                    <w:t>• the Management of Health and Safety at Work Regulations 1999 (as amended)</w:t>
                                  </w:r>
                                </w:p>
                                <w:p w:rsidR="00AE2FE1" w:rsidRPr="005C28B4" w:rsidRDefault="00AE2FE1" w:rsidP="00AE2FE1">
                                  <w:pPr>
                                    <w:ind w:left="29" w:hanging="29"/>
                                    <w:jc w:val="both"/>
                                    <w:rPr>
                                      <w:rFonts w:ascii="Century Gothic" w:hAnsi="Century Gothic"/>
                                      <w:color w:val="404040" w:themeColor="text1" w:themeTint="BF"/>
                                      <w:sz w:val="16"/>
                                      <w:szCs w:val="16"/>
                                    </w:rPr>
                                  </w:pPr>
                                </w:p>
                                <w:p w:rsidR="00AE2FE1" w:rsidRDefault="00AE2FE1" w:rsidP="00AE2FE1">
                                  <w:pPr>
                                    <w:ind w:left="29" w:hanging="29"/>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the Equality Act 2010</w:t>
                                  </w:r>
                                </w:p>
                                <w:p w:rsidR="00AE2FE1" w:rsidRDefault="00AE2FE1" w:rsidP="00AE2FE1">
                                  <w:pPr>
                                    <w:ind w:left="29" w:hanging="29"/>
                                    <w:jc w:val="both"/>
                                    <w:rPr>
                                      <w:rFonts w:ascii="Century Gothic" w:hAnsi="Century Gothic"/>
                                      <w:color w:val="404040" w:themeColor="text1" w:themeTint="BF"/>
                                      <w:sz w:val="16"/>
                                      <w:szCs w:val="16"/>
                                    </w:rPr>
                                  </w:pPr>
                                </w:p>
                                <w:p w:rsidR="00AE2FE1" w:rsidRPr="00B973C5" w:rsidRDefault="00AE2FE1" w:rsidP="00AE2FE1">
                                  <w:pPr>
                                    <w:ind w:left="29" w:hanging="29"/>
                                    <w:jc w:val="both"/>
                                    <w:rPr>
                                      <w:rFonts w:ascii="Century Gothic" w:hAnsi="Century Gothic"/>
                                      <w:color w:val="404040" w:themeColor="text1" w:themeTint="BF"/>
                                      <w:sz w:val="16"/>
                                      <w:szCs w:val="16"/>
                                    </w:rPr>
                                  </w:pPr>
                                  <w:r w:rsidRPr="00B973C5">
                                    <w:rPr>
                                      <w:rFonts w:ascii="Century Gothic" w:hAnsi="Century Gothic"/>
                                      <w:color w:val="404040" w:themeColor="text1" w:themeTint="BF"/>
                                      <w:sz w:val="16"/>
                                      <w:szCs w:val="16"/>
                                    </w:rPr>
                                    <w:t>• Civil law; employer owes a ‘duty of care’ to individual employees in the course of their employment. This is the area of law with the most important implications for work-related stress.</w:t>
                                  </w:r>
                                </w:p>
                              </w:tc>
                            </w:tr>
                          </w:tbl>
                          <w:p w:rsidR="00AE2FE1" w:rsidRDefault="00AE2FE1" w:rsidP="00AE2FE1">
                            <w:pPr>
                              <w:ind w:left="-255" w:firstLine="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45pt;margin-top:8.4pt;width:117.1pt;height:2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" fillcolor="white [3201]" strokecolor="#f79646 [3209]" strokeweight="1.25pt">
                <v:textbox>
                  <w:txbxContent>
                    <w:tbl>
                      <w:tblPr>
                        <w:tblStyle w:val="TableGrid"/>
                        <w:tblW w:w="2263"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tblGrid>
                      <w:tr w:rsidR="00AE2FE1" w:rsidRPr="005216F3" w:rsidTr="00AE2FE1">
                        <w:tc>
                          <w:tcPr>
                            <w:tcW w:w="2263" w:type="dxa"/>
                          </w:tcPr>
                          <w:p w:rsidR="00AE2FE1" w:rsidRDefault="00AE2FE1" w:rsidP="00AE2FE1">
                            <w:pPr>
                              <w:ind w:left="-255" w:firstLine="255"/>
                              <w:rPr>
                                <w:rFonts w:ascii="Century Gothic" w:hAnsi="Century Gothic"/>
                                <w:color w:val="F79646" w:themeColor="accent6"/>
                                <w:sz w:val="22"/>
                                <w:szCs w:val="22"/>
                              </w:rPr>
                            </w:pPr>
                            <w:r w:rsidRPr="00065FC0">
                              <w:rPr>
                                <w:rFonts w:ascii="Century Gothic" w:hAnsi="Century Gothic"/>
                                <w:color w:val="F79646" w:themeColor="accent6"/>
                                <w:sz w:val="22"/>
                                <w:szCs w:val="22"/>
                              </w:rPr>
                              <w:t>Legal duties</w:t>
                            </w:r>
                          </w:p>
                          <w:p w:rsidR="00AE2FE1" w:rsidRPr="00AE2FE1" w:rsidRDefault="00AE2FE1" w:rsidP="00AE2FE1">
                            <w:pPr>
                              <w:ind w:left="-255" w:firstLine="255"/>
                              <w:rPr>
                                <w:rFonts w:ascii="Century Gothic" w:hAnsi="Century Gothic"/>
                                <w:color w:val="E36C0A" w:themeColor="accent6" w:themeShade="BF"/>
                                <w:sz w:val="16"/>
                                <w:szCs w:val="16"/>
                              </w:rPr>
                            </w:pPr>
                          </w:p>
                        </w:tc>
                      </w:tr>
                      <w:tr w:rsidR="00AE2FE1" w:rsidRPr="00B973C5" w:rsidTr="00AE2FE1">
                        <w:tc>
                          <w:tcPr>
                            <w:tcW w:w="2263" w:type="dxa"/>
                          </w:tcPr>
                          <w:p w:rsidR="00AE2FE1" w:rsidRPr="005C28B4" w:rsidRDefault="00AE2FE1" w:rsidP="00AE2FE1">
                            <w:pPr>
                              <w:ind w:left="29" w:hanging="29"/>
                              <w:jc w:val="both"/>
                              <w:rPr>
                                <w:rFonts w:ascii="Century Gothic" w:hAnsi="Century Gothic"/>
                                <w:color w:val="404040" w:themeColor="text1" w:themeTint="BF"/>
                                <w:sz w:val="16"/>
                                <w:szCs w:val="16"/>
                              </w:rPr>
                            </w:pPr>
                            <w:r w:rsidRPr="005C28B4">
                              <w:rPr>
                                <w:rFonts w:ascii="Century Gothic" w:hAnsi="Century Gothic"/>
                                <w:color w:val="404040" w:themeColor="text1" w:themeTint="BF"/>
                                <w:sz w:val="16"/>
                                <w:szCs w:val="16"/>
                              </w:rPr>
                              <w:t>The prevention of stress is included in the general duty of care that an employer has to his or her employees:</w:t>
                            </w:r>
                          </w:p>
                          <w:p w:rsidR="00AE2FE1" w:rsidRPr="005C28B4" w:rsidRDefault="00AE2FE1" w:rsidP="00AE2FE1">
                            <w:pPr>
                              <w:ind w:left="29" w:hanging="29"/>
                              <w:jc w:val="both"/>
                              <w:rPr>
                                <w:rFonts w:ascii="Century Gothic" w:hAnsi="Century Gothic"/>
                                <w:color w:val="404040" w:themeColor="text1" w:themeTint="BF"/>
                                <w:sz w:val="16"/>
                                <w:szCs w:val="16"/>
                              </w:rPr>
                            </w:pPr>
                          </w:p>
                          <w:p w:rsidR="00AE2FE1" w:rsidRPr="005C28B4" w:rsidRDefault="00AE2FE1" w:rsidP="00AE2FE1">
                            <w:pPr>
                              <w:ind w:left="29" w:hanging="29"/>
                              <w:jc w:val="both"/>
                              <w:rPr>
                                <w:rFonts w:ascii="Century Gothic" w:hAnsi="Century Gothic"/>
                                <w:color w:val="404040" w:themeColor="text1" w:themeTint="BF"/>
                                <w:sz w:val="16"/>
                                <w:szCs w:val="16"/>
                              </w:rPr>
                            </w:pPr>
                            <w:r w:rsidRPr="005C28B4">
                              <w:rPr>
                                <w:rFonts w:ascii="Century Gothic" w:hAnsi="Century Gothic"/>
                                <w:color w:val="404040" w:themeColor="text1" w:themeTint="BF"/>
                                <w:sz w:val="16"/>
                                <w:szCs w:val="16"/>
                              </w:rPr>
                              <w:t xml:space="preserve">• the Health and Safety at Work </w:t>
                            </w:r>
                            <w:proofErr w:type="spellStart"/>
                            <w:r w:rsidRPr="005C28B4">
                              <w:rPr>
                                <w:rFonts w:ascii="Century Gothic" w:hAnsi="Century Gothic"/>
                                <w:color w:val="404040" w:themeColor="text1" w:themeTint="BF"/>
                                <w:sz w:val="16"/>
                                <w:szCs w:val="16"/>
                              </w:rPr>
                              <w:t>etc</w:t>
                            </w:r>
                            <w:proofErr w:type="spellEnd"/>
                            <w:r w:rsidRPr="005C28B4">
                              <w:rPr>
                                <w:rFonts w:ascii="Century Gothic" w:hAnsi="Century Gothic"/>
                                <w:color w:val="404040" w:themeColor="text1" w:themeTint="BF"/>
                                <w:sz w:val="16"/>
                                <w:szCs w:val="16"/>
                              </w:rPr>
                              <w:t xml:space="preserve"> Act 1974; ‘health’ includes mental health</w:t>
                            </w:r>
                          </w:p>
                          <w:p w:rsidR="00AE2FE1" w:rsidRPr="005C28B4" w:rsidRDefault="00AE2FE1" w:rsidP="00AE2FE1">
                            <w:pPr>
                              <w:ind w:left="29" w:hanging="29"/>
                              <w:jc w:val="both"/>
                              <w:rPr>
                                <w:rFonts w:ascii="Century Gothic" w:hAnsi="Century Gothic"/>
                                <w:color w:val="404040" w:themeColor="text1" w:themeTint="BF"/>
                                <w:sz w:val="16"/>
                                <w:szCs w:val="16"/>
                              </w:rPr>
                            </w:pPr>
                          </w:p>
                          <w:p w:rsidR="00AE2FE1" w:rsidRPr="005C28B4" w:rsidRDefault="00AE2FE1" w:rsidP="00AE2FE1">
                            <w:pPr>
                              <w:ind w:left="29" w:hanging="29"/>
                              <w:jc w:val="both"/>
                              <w:rPr>
                                <w:rFonts w:ascii="Century Gothic" w:hAnsi="Century Gothic"/>
                                <w:color w:val="404040" w:themeColor="text1" w:themeTint="BF"/>
                                <w:sz w:val="16"/>
                                <w:szCs w:val="16"/>
                              </w:rPr>
                            </w:pPr>
                            <w:r w:rsidRPr="005C28B4">
                              <w:rPr>
                                <w:rFonts w:ascii="Century Gothic" w:hAnsi="Century Gothic"/>
                                <w:color w:val="404040" w:themeColor="text1" w:themeTint="BF"/>
                                <w:sz w:val="16"/>
                                <w:szCs w:val="16"/>
                              </w:rPr>
                              <w:t>• the Management of Health and Safety at Work Regulations 1999 (as amended)</w:t>
                            </w:r>
                          </w:p>
                          <w:p w:rsidR="00AE2FE1" w:rsidRPr="005C28B4" w:rsidRDefault="00AE2FE1" w:rsidP="00AE2FE1">
                            <w:pPr>
                              <w:ind w:left="29" w:hanging="29"/>
                              <w:jc w:val="both"/>
                              <w:rPr>
                                <w:rFonts w:ascii="Century Gothic" w:hAnsi="Century Gothic"/>
                                <w:color w:val="404040" w:themeColor="text1" w:themeTint="BF"/>
                                <w:sz w:val="16"/>
                                <w:szCs w:val="16"/>
                              </w:rPr>
                            </w:pPr>
                          </w:p>
                          <w:p w:rsidR="00AE2FE1" w:rsidRDefault="00AE2FE1" w:rsidP="00AE2FE1">
                            <w:pPr>
                              <w:ind w:left="29" w:hanging="29"/>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the Equality Act 2010</w:t>
                            </w:r>
                          </w:p>
                          <w:p w:rsidR="00AE2FE1" w:rsidRDefault="00AE2FE1" w:rsidP="00AE2FE1">
                            <w:pPr>
                              <w:ind w:left="29" w:hanging="29"/>
                              <w:jc w:val="both"/>
                              <w:rPr>
                                <w:rFonts w:ascii="Century Gothic" w:hAnsi="Century Gothic"/>
                                <w:color w:val="404040" w:themeColor="text1" w:themeTint="BF"/>
                                <w:sz w:val="16"/>
                                <w:szCs w:val="16"/>
                              </w:rPr>
                            </w:pPr>
                          </w:p>
                          <w:p w:rsidR="00AE2FE1" w:rsidRPr="00B973C5" w:rsidRDefault="00AE2FE1" w:rsidP="00AE2FE1">
                            <w:pPr>
                              <w:ind w:left="29" w:hanging="29"/>
                              <w:jc w:val="both"/>
                              <w:rPr>
                                <w:rFonts w:ascii="Century Gothic" w:hAnsi="Century Gothic"/>
                                <w:color w:val="404040" w:themeColor="text1" w:themeTint="BF"/>
                                <w:sz w:val="16"/>
                                <w:szCs w:val="16"/>
                              </w:rPr>
                            </w:pPr>
                            <w:r w:rsidRPr="00B973C5">
                              <w:rPr>
                                <w:rFonts w:ascii="Century Gothic" w:hAnsi="Century Gothic"/>
                                <w:color w:val="404040" w:themeColor="text1" w:themeTint="BF"/>
                                <w:sz w:val="16"/>
                                <w:szCs w:val="16"/>
                              </w:rPr>
                              <w:t>• Civil law; employer owes a ‘duty of care’ to individual employees in the course of their employment. This is the area of law with the most important implications for work-related stress.</w:t>
                            </w:r>
                          </w:p>
                        </w:tc>
                      </w:tr>
                    </w:tbl>
                    <w:p w:rsidR="00AE2FE1" w:rsidRDefault="00AE2FE1" w:rsidP="00AE2FE1">
                      <w:pPr>
                        <w:ind w:left="-255" w:firstLine="255"/>
                      </w:pPr>
                    </w:p>
                  </w:txbxContent>
                </v:textbox>
              </v:shape>
            </w:pict>
          </mc:Fallback>
        </mc:AlternateConten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2642"/>
      </w:tblGrid>
      <w:tr w:rsidR="005216F3" w:rsidTr="00AE2FE1">
        <w:tc>
          <w:tcPr>
            <w:tcW w:w="9016" w:type="dxa"/>
            <w:gridSpan w:val="2"/>
          </w:tcPr>
          <w:p w:rsidR="005216F3" w:rsidRPr="005216F3" w:rsidRDefault="00065FC0" w:rsidP="00AE2FE1">
            <w:pPr>
              <w:rPr>
                <w:rFonts w:ascii="Century Gothic" w:hAnsi="Century Gothic"/>
                <w:color w:val="F79646" w:themeColor="accent6"/>
                <w:sz w:val="22"/>
                <w:szCs w:val="22"/>
              </w:rPr>
            </w:pPr>
            <w:r w:rsidRPr="00065FC0">
              <w:rPr>
                <w:rFonts w:ascii="Century Gothic" w:hAnsi="Century Gothic"/>
                <w:color w:val="F79646" w:themeColor="accent6"/>
                <w:sz w:val="22"/>
                <w:szCs w:val="22"/>
              </w:rPr>
              <w:t>Guidelines to employees</w:t>
            </w:r>
          </w:p>
          <w:p w:rsidR="005216F3" w:rsidRPr="005216F3" w:rsidRDefault="005216F3" w:rsidP="005216F3">
            <w:pPr>
              <w:jc w:val="center"/>
              <w:rPr>
                <w:rFonts w:ascii="Century Gothic" w:hAnsi="Century Gothic"/>
                <w:color w:val="E36C0A" w:themeColor="accent6" w:themeShade="BF"/>
                <w:sz w:val="19"/>
                <w:szCs w:val="19"/>
              </w:rPr>
            </w:pPr>
          </w:p>
        </w:tc>
      </w:tr>
      <w:tr w:rsidR="005216F3" w:rsidTr="00AE2FE1">
        <w:tc>
          <w:tcPr>
            <w:tcW w:w="9016" w:type="dxa"/>
            <w:gridSpan w:val="2"/>
          </w:tcPr>
          <w:p w:rsidR="005C28B4" w:rsidRDefault="005C28B4" w:rsidP="00AE2FE1">
            <w:pPr>
              <w:ind w:right="2676"/>
              <w:jc w:val="both"/>
              <w:rPr>
                <w:rFonts w:ascii="Century Gothic" w:hAnsi="Century Gothic"/>
                <w:color w:val="404040" w:themeColor="text1" w:themeTint="BF"/>
                <w:sz w:val="19"/>
                <w:szCs w:val="19"/>
              </w:rPr>
            </w:pPr>
            <w:r w:rsidRPr="005C28B4">
              <w:rPr>
                <w:rFonts w:ascii="Century Gothic" w:hAnsi="Century Gothic"/>
                <w:color w:val="404040" w:themeColor="text1" w:themeTint="BF"/>
                <w:sz w:val="19"/>
                <w:szCs w:val="19"/>
              </w:rPr>
              <w:t>Take appropriate measures to control the risk of stress-related ill health arising from work activities. Six Management Standards have been identified:</w:t>
            </w:r>
          </w:p>
          <w:p w:rsidR="005C28B4" w:rsidRPr="005C28B4" w:rsidRDefault="005C28B4" w:rsidP="00AE2FE1">
            <w:pPr>
              <w:ind w:right="2676"/>
              <w:jc w:val="both"/>
              <w:rPr>
                <w:rFonts w:ascii="Century Gothic" w:hAnsi="Century Gothic"/>
                <w:color w:val="404040" w:themeColor="text1" w:themeTint="BF"/>
                <w:sz w:val="19"/>
                <w:szCs w:val="19"/>
              </w:rPr>
            </w:pPr>
          </w:p>
          <w:p w:rsidR="00065FC0" w:rsidRPr="00065FC0" w:rsidRDefault="009C742C" w:rsidP="00AE2FE1">
            <w:pPr>
              <w:pStyle w:val="ListParagraph"/>
              <w:numPr>
                <w:ilvl w:val="1"/>
                <w:numId w:val="5"/>
              </w:numPr>
              <w:ind w:right="2676"/>
              <w:jc w:val="both"/>
              <w:rPr>
                <w:rFonts w:ascii="Century Gothic" w:hAnsi="Century Gothic"/>
                <w:color w:val="404040" w:themeColor="text1" w:themeTint="BF"/>
                <w:sz w:val="19"/>
                <w:szCs w:val="19"/>
              </w:rPr>
            </w:pPr>
            <w:r>
              <w:rPr>
                <w:rFonts w:ascii="Century Gothic" w:hAnsi="Century Gothic"/>
                <w:b/>
                <w:color w:val="F79646" w:themeColor="accent6"/>
                <w:sz w:val="19"/>
                <w:szCs w:val="19"/>
              </w:rPr>
              <w:t>D</w:t>
            </w:r>
            <w:r w:rsidR="00065FC0" w:rsidRPr="00AE2FE1">
              <w:rPr>
                <w:rFonts w:ascii="Century Gothic" w:hAnsi="Century Gothic"/>
                <w:b/>
                <w:color w:val="F79646" w:themeColor="accent6"/>
                <w:sz w:val="19"/>
                <w:szCs w:val="19"/>
              </w:rPr>
              <w:t>emand</w:t>
            </w:r>
            <w:r w:rsidR="00065FC0" w:rsidRPr="00065FC0">
              <w:rPr>
                <w:rFonts w:ascii="Century Gothic" w:hAnsi="Century Gothic"/>
                <w:color w:val="404040" w:themeColor="text1" w:themeTint="BF"/>
                <w:sz w:val="19"/>
                <w:szCs w:val="19"/>
              </w:rPr>
              <w:t>: workload, work pattern and the work environment</w:t>
            </w:r>
            <w:r>
              <w:rPr>
                <w:rFonts w:ascii="Century Gothic" w:hAnsi="Century Gothic"/>
                <w:color w:val="404040" w:themeColor="text1" w:themeTint="BF"/>
                <w:sz w:val="19"/>
                <w:szCs w:val="19"/>
              </w:rPr>
              <w:t>.</w:t>
            </w:r>
          </w:p>
          <w:p w:rsidR="00065FC0" w:rsidRPr="00065FC0" w:rsidRDefault="00065FC0" w:rsidP="00AE2FE1">
            <w:pPr>
              <w:ind w:right="2676"/>
              <w:jc w:val="both"/>
              <w:rPr>
                <w:rFonts w:ascii="Century Gothic" w:hAnsi="Century Gothic"/>
                <w:color w:val="404040" w:themeColor="text1" w:themeTint="BF"/>
                <w:sz w:val="19"/>
                <w:szCs w:val="19"/>
              </w:rPr>
            </w:pPr>
          </w:p>
          <w:p w:rsidR="00065FC0" w:rsidRPr="00065FC0" w:rsidRDefault="009C742C" w:rsidP="00AE2FE1">
            <w:pPr>
              <w:pStyle w:val="ListParagraph"/>
              <w:numPr>
                <w:ilvl w:val="1"/>
                <w:numId w:val="5"/>
              </w:numPr>
              <w:ind w:right="2676"/>
              <w:jc w:val="both"/>
              <w:rPr>
                <w:rFonts w:ascii="Century Gothic" w:hAnsi="Century Gothic"/>
                <w:color w:val="404040" w:themeColor="text1" w:themeTint="BF"/>
                <w:sz w:val="19"/>
                <w:szCs w:val="19"/>
              </w:rPr>
            </w:pPr>
            <w:r>
              <w:rPr>
                <w:rFonts w:ascii="Century Gothic" w:hAnsi="Century Gothic"/>
                <w:b/>
                <w:color w:val="F79646" w:themeColor="accent6"/>
                <w:sz w:val="19"/>
                <w:szCs w:val="19"/>
              </w:rPr>
              <w:t>C</w:t>
            </w:r>
            <w:r w:rsidR="00065FC0" w:rsidRPr="00AE2FE1">
              <w:rPr>
                <w:rFonts w:ascii="Century Gothic" w:hAnsi="Century Gothic"/>
                <w:b/>
                <w:color w:val="F79646" w:themeColor="accent6"/>
                <w:sz w:val="19"/>
                <w:szCs w:val="19"/>
              </w:rPr>
              <w:t>ontrol</w:t>
            </w:r>
            <w:r w:rsidR="00065FC0" w:rsidRPr="00065FC0">
              <w:rPr>
                <w:rFonts w:ascii="Century Gothic" w:hAnsi="Century Gothic"/>
                <w:color w:val="404040" w:themeColor="text1" w:themeTint="BF"/>
                <w:sz w:val="19"/>
                <w:szCs w:val="19"/>
              </w:rPr>
              <w:t>: what influence the individual has about the way they do their work</w:t>
            </w:r>
            <w:r>
              <w:rPr>
                <w:rFonts w:ascii="Century Gothic" w:hAnsi="Century Gothic"/>
                <w:color w:val="404040" w:themeColor="text1" w:themeTint="BF"/>
                <w:sz w:val="19"/>
                <w:szCs w:val="19"/>
              </w:rPr>
              <w:t>.</w:t>
            </w:r>
          </w:p>
          <w:p w:rsidR="00065FC0" w:rsidRPr="00065FC0" w:rsidRDefault="00065FC0" w:rsidP="00AE2FE1">
            <w:pPr>
              <w:ind w:right="2676"/>
              <w:jc w:val="both"/>
              <w:rPr>
                <w:rFonts w:ascii="Century Gothic" w:hAnsi="Century Gothic"/>
                <w:color w:val="404040" w:themeColor="text1" w:themeTint="BF"/>
                <w:sz w:val="19"/>
                <w:szCs w:val="19"/>
              </w:rPr>
            </w:pPr>
          </w:p>
          <w:p w:rsidR="00065FC0" w:rsidRPr="00065FC0" w:rsidRDefault="009C742C" w:rsidP="00AE2FE1">
            <w:pPr>
              <w:pStyle w:val="ListParagraph"/>
              <w:numPr>
                <w:ilvl w:val="1"/>
                <w:numId w:val="5"/>
              </w:numPr>
              <w:ind w:right="2676"/>
              <w:jc w:val="both"/>
              <w:rPr>
                <w:rFonts w:ascii="Century Gothic" w:hAnsi="Century Gothic"/>
                <w:color w:val="404040" w:themeColor="text1" w:themeTint="BF"/>
                <w:sz w:val="19"/>
                <w:szCs w:val="19"/>
              </w:rPr>
            </w:pPr>
            <w:r>
              <w:rPr>
                <w:rFonts w:ascii="Century Gothic" w:hAnsi="Century Gothic"/>
                <w:b/>
                <w:color w:val="F79646" w:themeColor="accent6"/>
                <w:sz w:val="19"/>
                <w:szCs w:val="19"/>
              </w:rPr>
              <w:t>S</w:t>
            </w:r>
            <w:r w:rsidR="00065FC0" w:rsidRPr="00AE2FE1">
              <w:rPr>
                <w:rFonts w:ascii="Century Gothic" w:hAnsi="Century Gothic"/>
                <w:b/>
                <w:color w:val="F79646" w:themeColor="accent6"/>
                <w:sz w:val="19"/>
                <w:szCs w:val="19"/>
              </w:rPr>
              <w:t>upport</w:t>
            </w:r>
            <w:r w:rsidR="00065FC0" w:rsidRPr="00065FC0">
              <w:rPr>
                <w:rFonts w:ascii="Century Gothic" w:hAnsi="Century Gothic"/>
                <w:color w:val="404040" w:themeColor="text1" w:themeTint="BF"/>
                <w:sz w:val="19"/>
                <w:szCs w:val="19"/>
              </w:rPr>
              <w:t>: the encouragement, sponsorship and resources provided by the employer, line management and colleagues</w:t>
            </w:r>
            <w:r>
              <w:rPr>
                <w:rFonts w:ascii="Century Gothic" w:hAnsi="Century Gothic"/>
                <w:color w:val="404040" w:themeColor="text1" w:themeTint="BF"/>
                <w:sz w:val="19"/>
                <w:szCs w:val="19"/>
              </w:rPr>
              <w:t>.</w:t>
            </w:r>
          </w:p>
          <w:p w:rsidR="00065FC0" w:rsidRPr="00065FC0" w:rsidRDefault="00065FC0" w:rsidP="00AE2FE1">
            <w:pPr>
              <w:ind w:right="2676"/>
              <w:jc w:val="both"/>
              <w:rPr>
                <w:rFonts w:ascii="Century Gothic" w:hAnsi="Century Gothic"/>
                <w:color w:val="404040" w:themeColor="text1" w:themeTint="BF"/>
                <w:sz w:val="19"/>
                <w:szCs w:val="19"/>
              </w:rPr>
            </w:pPr>
          </w:p>
          <w:p w:rsidR="00065FC0" w:rsidRPr="00065FC0" w:rsidRDefault="009C742C" w:rsidP="00AE2FE1">
            <w:pPr>
              <w:pStyle w:val="ListParagraph"/>
              <w:numPr>
                <w:ilvl w:val="1"/>
                <w:numId w:val="5"/>
              </w:numPr>
              <w:ind w:right="2676"/>
              <w:jc w:val="both"/>
              <w:rPr>
                <w:rFonts w:ascii="Century Gothic" w:hAnsi="Century Gothic"/>
                <w:color w:val="404040" w:themeColor="text1" w:themeTint="BF"/>
                <w:sz w:val="19"/>
                <w:szCs w:val="19"/>
              </w:rPr>
            </w:pPr>
            <w:r>
              <w:rPr>
                <w:rFonts w:ascii="Century Gothic" w:hAnsi="Century Gothic"/>
                <w:b/>
                <w:color w:val="F79646" w:themeColor="accent6"/>
                <w:sz w:val="19"/>
                <w:szCs w:val="19"/>
              </w:rPr>
              <w:t>R</w:t>
            </w:r>
            <w:r w:rsidR="00065FC0" w:rsidRPr="00AE2FE1">
              <w:rPr>
                <w:rFonts w:ascii="Century Gothic" w:hAnsi="Century Gothic"/>
                <w:b/>
                <w:color w:val="F79646" w:themeColor="accent6"/>
                <w:sz w:val="19"/>
                <w:szCs w:val="19"/>
              </w:rPr>
              <w:t>elationships</w:t>
            </w:r>
            <w:r w:rsidR="00065FC0" w:rsidRPr="00065FC0">
              <w:rPr>
                <w:rFonts w:ascii="Century Gothic" w:hAnsi="Century Gothic"/>
                <w:color w:val="404040" w:themeColor="text1" w:themeTint="BF"/>
                <w:sz w:val="19"/>
                <w:szCs w:val="19"/>
              </w:rPr>
              <w:t>: promoting positive working to avoid conflict and dealing with unacceptable behavior</w:t>
            </w:r>
            <w:r>
              <w:rPr>
                <w:rFonts w:ascii="Century Gothic" w:hAnsi="Century Gothic"/>
                <w:color w:val="404040" w:themeColor="text1" w:themeTint="BF"/>
                <w:sz w:val="19"/>
                <w:szCs w:val="19"/>
              </w:rPr>
              <w:t>.</w:t>
            </w:r>
          </w:p>
          <w:p w:rsidR="00065FC0" w:rsidRPr="00065FC0" w:rsidRDefault="00065FC0" w:rsidP="00AE2FE1">
            <w:pPr>
              <w:ind w:right="2676"/>
              <w:jc w:val="both"/>
              <w:rPr>
                <w:rFonts w:ascii="Century Gothic" w:hAnsi="Century Gothic"/>
                <w:color w:val="404040" w:themeColor="text1" w:themeTint="BF"/>
                <w:sz w:val="19"/>
                <w:szCs w:val="19"/>
              </w:rPr>
            </w:pPr>
          </w:p>
          <w:p w:rsidR="00065FC0" w:rsidRPr="00065FC0" w:rsidRDefault="009C742C" w:rsidP="00AE2FE1">
            <w:pPr>
              <w:pStyle w:val="ListParagraph"/>
              <w:numPr>
                <w:ilvl w:val="1"/>
                <w:numId w:val="5"/>
              </w:numPr>
              <w:ind w:right="2676"/>
              <w:jc w:val="both"/>
              <w:rPr>
                <w:rFonts w:ascii="Century Gothic" w:hAnsi="Century Gothic"/>
                <w:color w:val="404040" w:themeColor="text1" w:themeTint="BF"/>
                <w:sz w:val="19"/>
                <w:szCs w:val="19"/>
              </w:rPr>
            </w:pPr>
            <w:r>
              <w:rPr>
                <w:rFonts w:ascii="Century Gothic" w:hAnsi="Century Gothic"/>
                <w:b/>
                <w:color w:val="F79646" w:themeColor="accent6"/>
                <w:sz w:val="19"/>
                <w:szCs w:val="19"/>
              </w:rPr>
              <w:t>R</w:t>
            </w:r>
            <w:r w:rsidR="00065FC0" w:rsidRPr="00AE2FE1">
              <w:rPr>
                <w:rFonts w:ascii="Century Gothic" w:hAnsi="Century Gothic"/>
                <w:b/>
                <w:color w:val="F79646" w:themeColor="accent6"/>
                <w:sz w:val="19"/>
                <w:szCs w:val="19"/>
              </w:rPr>
              <w:t>ole</w:t>
            </w:r>
            <w:r w:rsidR="00065FC0" w:rsidRPr="00065FC0">
              <w:rPr>
                <w:rFonts w:ascii="Century Gothic" w:hAnsi="Century Gothic"/>
                <w:color w:val="404040" w:themeColor="text1" w:themeTint="BF"/>
                <w:sz w:val="19"/>
                <w:szCs w:val="19"/>
              </w:rPr>
              <w:t>: whether employees understand their role within the organization and whether the organisation ensures that the person does not have conflicting roles</w:t>
            </w:r>
            <w:r>
              <w:rPr>
                <w:rFonts w:ascii="Century Gothic" w:hAnsi="Century Gothic"/>
                <w:color w:val="404040" w:themeColor="text1" w:themeTint="BF"/>
                <w:sz w:val="19"/>
                <w:szCs w:val="19"/>
              </w:rPr>
              <w:t>.</w:t>
            </w:r>
          </w:p>
          <w:p w:rsidR="00065FC0" w:rsidRPr="00065FC0" w:rsidRDefault="00065FC0" w:rsidP="00AE2FE1">
            <w:pPr>
              <w:ind w:right="2676"/>
              <w:jc w:val="both"/>
              <w:rPr>
                <w:rFonts w:ascii="Century Gothic" w:hAnsi="Century Gothic"/>
                <w:color w:val="404040" w:themeColor="text1" w:themeTint="BF"/>
                <w:sz w:val="19"/>
                <w:szCs w:val="19"/>
              </w:rPr>
            </w:pPr>
          </w:p>
          <w:p w:rsidR="005216F3" w:rsidRPr="00065FC0" w:rsidRDefault="009C742C" w:rsidP="00AE2FE1">
            <w:pPr>
              <w:pStyle w:val="ListParagraph"/>
              <w:numPr>
                <w:ilvl w:val="1"/>
                <w:numId w:val="5"/>
              </w:numPr>
              <w:ind w:right="2676"/>
              <w:jc w:val="both"/>
              <w:rPr>
                <w:rFonts w:ascii="Century Gothic" w:hAnsi="Century Gothic"/>
                <w:color w:val="404040" w:themeColor="text1" w:themeTint="BF"/>
                <w:sz w:val="19"/>
                <w:szCs w:val="19"/>
              </w:rPr>
            </w:pPr>
            <w:r>
              <w:rPr>
                <w:rFonts w:ascii="Century Gothic" w:hAnsi="Century Gothic"/>
                <w:b/>
                <w:color w:val="F79646" w:themeColor="accent6"/>
                <w:sz w:val="19"/>
                <w:szCs w:val="19"/>
              </w:rPr>
              <w:t>C</w:t>
            </w:r>
            <w:r w:rsidR="00065FC0" w:rsidRPr="00AE2FE1">
              <w:rPr>
                <w:rFonts w:ascii="Century Gothic" w:hAnsi="Century Gothic"/>
                <w:b/>
                <w:color w:val="F79646" w:themeColor="accent6"/>
                <w:sz w:val="19"/>
                <w:szCs w:val="19"/>
              </w:rPr>
              <w:t>hange</w:t>
            </w:r>
            <w:r w:rsidR="00065FC0" w:rsidRPr="00065FC0">
              <w:rPr>
                <w:rFonts w:ascii="Century Gothic" w:hAnsi="Century Gothic"/>
                <w:color w:val="404040" w:themeColor="text1" w:themeTint="BF"/>
                <w:sz w:val="19"/>
                <w:szCs w:val="19"/>
              </w:rPr>
              <w:t xml:space="preserve">: how </w:t>
            </w:r>
            <w:proofErr w:type="spellStart"/>
            <w:r w:rsidR="00065FC0" w:rsidRPr="00065FC0">
              <w:rPr>
                <w:rFonts w:ascii="Century Gothic" w:hAnsi="Century Gothic"/>
                <w:color w:val="404040" w:themeColor="text1" w:themeTint="BF"/>
                <w:sz w:val="19"/>
                <w:szCs w:val="19"/>
              </w:rPr>
              <w:t>organisational</w:t>
            </w:r>
            <w:proofErr w:type="spellEnd"/>
            <w:r w:rsidR="00065FC0" w:rsidRPr="00065FC0">
              <w:rPr>
                <w:rFonts w:ascii="Century Gothic" w:hAnsi="Century Gothic"/>
                <w:color w:val="404040" w:themeColor="text1" w:themeTint="BF"/>
                <w:sz w:val="19"/>
                <w:szCs w:val="19"/>
              </w:rPr>
              <w:t xml:space="preserve"> change is managed and communicated in the organisation. </w:t>
            </w:r>
            <w:r w:rsidRPr="00065FC0">
              <w:rPr>
                <w:rFonts w:ascii="Century Gothic" w:hAnsi="Century Gothic"/>
                <w:color w:val="404040" w:themeColor="text1" w:themeTint="BF"/>
                <w:sz w:val="19"/>
                <w:szCs w:val="19"/>
              </w:rPr>
              <w:t>Employer</w:t>
            </w:r>
            <w:r w:rsidR="00065FC0" w:rsidRPr="00065FC0">
              <w:rPr>
                <w:rFonts w:ascii="Century Gothic" w:hAnsi="Century Gothic"/>
                <w:color w:val="404040" w:themeColor="text1" w:themeTint="BF"/>
                <w:sz w:val="19"/>
                <w:szCs w:val="19"/>
              </w:rPr>
              <w:t>/</w:t>
            </w:r>
            <w:r>
              <w:rPr>
                <w:rFonts w:ascii="Century Gothic" w:hAnsi="Century Gothic"/>
                <w:color w:val="404040" w:themeColor="text1" w:themeTint="BF"/>
                <w:sz w:val="19"/>
                <w:szCs w:val="19"/>
              </w:rPr>
              <w:t xml:space="preserve"> </w:t>
            </w:r>
            <w:r w:rsidR="00065FC0" w:rsidRPr="00065FC0">
              <w:rPr>
                <w:rFonts w:ascii="Century Gothic" w:hAnsi="Century Gothic"/>
                <w:color w:val="404040" w:themeColor="text1" w:themeTint="BF"/>
                <w:sz w:val="19"/>
                <w:szCs w:val="19"/>
              </w:rPr>
              <w:t>employees duties under them</w:t>
            </w:r>
            <w:r>
              <w:rPr>
                <w:rFonts w:ascii="Century Gothic" w:hAnsi="Century Gothic"/>
                <w:color w:val="404040" w:themeColor="text1" w:themeTint="BF"/>
                <w:sz w:val="19"/>
                <w:szCs w:val="19"/>
              </w:rPr>
              <w:t>.</w:t>
            </w:r>
          </w:p>
          <w:p w:rsidR="005216F3" w:rsidRPr="005216F3" w:rsidRDefault="005216F3" w:rsidP="005216F3">
            <w:pPr>
              <w:rPr>
                <w:rFonts w:ascii="Century Gothic" w:hAnsi="Century Gothic"/>
                <w:color w:val="404040" w:themeColor="text1" w:themeTint="BF"/>
                <w:sz w:val="20"/>
                <w:szCs w:val="20"/>
              </w:rPr>
            </w:pPr>
          </w:p>
        </w:tc>
      </w:tr>
      <w:tr w:rsidR="00AE2FE1" w:rsidTr="00AE2FE1">
        <w:trPr>
          <w:gridAfter w:val="1"/>
          <w:wAfter w:w="2642" w:type="dxa"/>
        </w:trPr>
        <w:tc>
          <w:tcPr>
            <w:tcW w:w="6374" w:type="dxa"/>
          </w:tcPr>
          <w:p w:rsidR="00AE2FE1" w:rsidRDefault="00AE2FE1" w:rsidP="009352A5">
            <w:pPr>
              <w:rPr>
                <w:rFonts w:ascii="Century Gothic" w:hAnsi="Century Gothic"/>
                <w:color w:val="F79646" w:themeColor="accent6"/>
                <w:sz w:val="22"/>
                <w:szCs w:val="22"/>
              </w:rPr>
            </w:pPr>
            <w:r w:rsidRPr="00065FC0">
              <w:rPr>
                <w:rFonts w:ascii="Century Gothic" w:hAnsi="Century Gothic"/>
                <w:color w:val="F79646" w:themeColor="accent6"/>
                <w:sz w:val="22"/>
                <w:szCs w:val="22"/>
              </w:rPr>
              <w:t>Recommendations for employers</w:t>
            </w:r>
          </w:p>
          <w:p w:rsidR="00AE2FE1" w:rsidRPr="005216F3" w:rsidRDefault="00AE2FE1" w:rsidP="009352A5">
            <w:pPr>
              <w:rPr>
                <w:rFonts w:ascii="Century Gothic" w:hAnsi="Century Gothic"/>
                <w:color w:val="E36C0A" w:themeColor="accent6" w:themeShade="BF"/>
                <w:sz w:val="22"/>
                <w:szCs w:val="22"/>
              </w:rPr>
            </w:pPr>
          </w:p>
        </w:tc>
      </w:tr>
      <w:tr w:rsidR="00AE2FE1" w:rsidTr="00AE2FE1">
        <w:trPr>
          <w:gridAfter w:val="1"/>
          <w:wAfter w:w="2642" w:type="dxa"/>
        </w:trPr>
        <w:tc>
          <w:tcPr>
            <w:tcW w:w="6374" w:type="dxa"/>
          </w:tcPr>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U</w:t>
            </w:r>
            <w:r w:rsidR="00AE2FE1" w:rsidRPr="00065FC0">
              <w:rPr>
                <w:rFonts w:ascii="Century Gothic" w:hAnsi="Century Gothic"/>
                <w:color w:val="404040" w:themeColor="text1" w:themeTint="BF"/>
                <w:sz w:val="19"/>
                <w:szCs w:val="19"/>
              </w:rPr>
              <w:t>ndertake and regularly review stress assessments and implement their recommendations</w:t>
            </w:r>
            <w:r>
              <w:rPr>
                <w:rFonts w:ascii="Century Gothic" w:hAnsi="Century Gothic"/>
                <w:color w:val="404040" w:themeColor="text1" w:themeTint="BF"/>
                <w:sz w:val="19"/>
                <w:szCs w:val="19"/>
              </w:rPr>
              <w:t>.</w:t>
            </w:r>
          </w:p>
          <w:p w:rsidR="00AE2FE1" w:rsidRPr="00951D08" w:rsidRDefault="00AE2FE1" w:rsidP="00AE2FE1">
            <w:pPr>
              <w:jc w:val="both"/>
              <w:rPr>
                <w:rFonts w:ascii="Century Gothic" w:hAnsi="Century Gothic"/>
                <w:color w:val="404040" w:themeColor="text1" w:themeTint="BF"/>
                <w:sz w:val="16"/>
                <w:szCs w:val="19"/>
              </w:rPr>
            </w:pPr>
          </w:p>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S</w:t>
            </w:r>
            <w:r w:rsidR="00AE2FE1" w:rsidRPr="00065FC0">
              <w:rPr>
                <w:rFonts w:ascii="Century Gothic" w:hAnsi="Century Gothic"/>
                <w:color w:val="404040" w:themeColor="text1" w:themeTint="BF"/>
                <w:sz w:val="19"/>
                <w:szCs w:val="19"/>
              </w:rPr>
              <w:t>upport those experiencing stressful situations</w:t>
            </w:r>
            <w:r>
              <w:rPr>
                <w:rFonts w:ascii="Century Gothic" w:hAnsi="Century Gothic"/>
                <w:color w:val="404040" w:themeColor="text1" w:themeTint="BF"/>
                <w:sz w:val="19"/>
                <w:szCs w:val="19"/>
              </w:rPr>
              <w:t>.</w:t>
            </w:r>
          </w:p>
          <w:p w:rsidR="00AE2FE1" w:rsidRPr="00951D08" w:rsidRDefault="00AE2FE1" w:rsidP="00AE2FE1">
            <w:pPr>
              <w:jc w:val="both"/>
              <w:rPr>
                <w:rFonts w:ascii="Century Gothic" w:hAnsi="Century Gothic"/>
                <w:color w:val="404040" w:themeColor="text1" w:themeTint="BF"/>
                <w:sz w:val="16"/>
                <w:szCs w:val="19"/>
              </w:rPr>
            </w:pPr>
          </w:p>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E</w:t>
            </w:r>
            <w:r w:rsidR="00AE2FE1" w:rsidRPr="00065FC0">
              <w:rPr>
                <w:rFonts w:ascii="Century Gothic" w:hAnsi="Century Gothic"/>
                <w:color w:val="404040" w:themeColor="text1" w:themeTint="BF"/>
                <w:sz w:val="19"/>
                <w:szCs w:val="19"/>
              </w:rPr>
              <w:t xml:space="preserve">nsure </w:t>
            </w:r>
            <w:proofErr w:type="gramStart"/>
            <w:r w:rsidR="00AE2FE1" w:rsidRPr="00065FC0">
              <w:rPr>
                <w:rFonts w:ascii="Century Gothic" w:hAnsi="Century Gothic"/>
                <w:color w:val="404040" w:themeColor="text1" w:themeTint="BF"/>
                <w:sz w:val="19"/>
                <w:szCs w:val="19"/>
              </w:rPr>
              <w:t>staff have</w:t>
            </w:r>
            <w:proofErr w:type="gramEnd"/>
            <w:r w:rsidR="00AE2FE1" w:rsidRPr="00065FC0">
              <w:rPr>
                <w:rFonts w:ascii="Century Gothic" w:hAnsi="Century Gothic"/>
                <w:color w:val="404040" w:themeColor="text1" w:themeTint="BF"/>
                <w:sz w:val="19"/>
                <w:szCs w:val="19"/>
              </w:rPr>
              <w:t xml:space="preserve"> access to a confidential counselling service or helpline</w:t>
            </w:r>
            <w:r>
              <w:rPr>
                <w:rFonts w:ascii="Century Gothic" w:hAnsi="Century Gothic"/>
                <w:color w:val="404040" w:themeColor="text1" w:themeTint="BF"/>
                <w:sz w:val="19"/>
                <w:szCs w:val="19"/>
              </w:rPr>
              <w:t>.</w:t>
            </w:r>
          </w:p>
          <w:p w:rsidR="00AE2FE1" w:rsidRPr="00951D08" w:rsidRDefault="00AE2FE1" w:rsidP="00AE2FE1">
            <w:pPr>
              <w:jc w:val="both"/>
              <w:rPr>
                <w:rFonts w:ascii="Century Gothic" w:hAnsi="Century Gothic"/>
                <w:color w:val="404040" w:themeColor="text1" w:themeTint="BF"/>
                <w:sz w:val="16"/>
                <w:szCs w:val="19"/>
              </w:rPr>
            </w:pPr>
          </w:p>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O</w:t>
            </w:r>
            <w:r w:rsidR="00AE2FE1" w:rsidRPr="00065FC0">
              <w:rPr>
                <w:rFonts w:ascii="Century Gothic" w:hAnsi="Century Gothic"/>
                <w:color w:val="404040" w:themeColor="text1" w:themeTint="BF"/>
                <w:sz w:val="19"/>
                <w:szCs w:val="19"/>
              </w:rPr>
              <w:t>ffer training and development opportunities</w:t>
            </w:r>
            <w:r>
              <w:rPr>
                <w:rFonts w:ascii="Century Gothic" w:hAnsi="Century Gothic"/>
                <w:color w:val="404040" w:themeColor="text1" w:themeTint="BF"/>
                <w:sz w:val="19"/>
                <w:szCs w:val="19"/>
              </w:rPr>
              <w:t>.</w:t>
            </w:r>
          </w:p>
          <w:p w:rsidR="00AE2FE1" w:rsidRPr="00951D08" w:rsidRDefault="00AE2FE1" w:rsidP="00AE2FE1">
            <w:pPr>
              <w:jc w:val="both"/>
              <w:rPr>
                <w:rFonts w:ascii="Century Gothic" w:hAnsi="Century Gothic"/>
                <w:color w:val="404040" w:themeColor="text1" w:themeTint="BF"/>
                <w:sz w:val="16"/>
                <w:szCs w:val="19"/>
              </w:rPr>
            </w:pPr>
          </w:p>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M</w:t>
            </w:r>
            <w:r w:rsidR="00AE2FE1" w:rsidRPr="00065FC0">
              <w:rPr>
                <w:rFonts w:ascii="Century Gothic" w:hAnsi="Century Gothic"/>
                <w:color w:val="404040" w:themeColor="text1" w:themeTint="BF"/>
                <w:sz w:val="19"/>
                <w:szCs w:val="19"/>
              </w:rPr>
              <w:t>aintain good communications with staff</w:t>
            </w:r>
            <w:r>
              <w:rPr>
                <w:rFonts w:ascii="Century Gothic" w:hAnsi="Century Gothic"/>
                <w:color w:val="404040" w:themeColor="text1" w:themeTint="BF"/>
                <w:sz w:val="19"/>
                <w:szCs w:val="19"/>
              </w:rPr>
              <w:t>.</w:t>
            </w:r>
          </w:p>
          <w:p w:rsidR="00AE2FE1" w:rsidRPr="00951D08" w:rsidRDefault="00AE2FE1" w:rsidP="00AE2FE1">
            <w:pPr>
              <w:jc w:val="both"/>
              <w:rPr>
                <w:rFonts w:ascii="Century Gothic" w:hAnsi="Century Gothic"/>
                <w:color w:val="404040" w:themeColor="text1" w:themeTint="BF"/>
                <w:sz w:val="16"/>
                <w:szCs w:val="19"/>
              </w:rPr>
            </w:pPr>
          </w:p>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M</w:t>
            </w:r>
            <w:r w:rsidR="00AE2FE1" w:rsidRPr="00065FC0">
              <w:rPr>
                <w:rFonts w:ascii="Century Gothic" w:hAnsi="Century Gothic"/>
                <w:color w:val="404040" w:themeColor="text1" w:themeTint="BF"/>
                <w:sz w:val="19"/>
                <w:szCs w:val="19"/>
              </w:rPr>
              <w:t>onitor and review workloads</w:t>
            </w:r>
            <w:r>
              <w:rPr>
                <w:rFonts w:ascii="Century Gothic" w:hAnsi="Century Gothic"/>
                <w:color w:val="404040" w:themeColor="text1" w:themeTint="BF"/>
                <w:sz w:val="19"/>
                <w:szCs w:val="19"/>
              </w:rPr>
              <w:t>.</w:t>
            </w:r>
          </w:p>
          <w:p w:rsidR="00AE2FE1" w:rsidRPr="00951D08" w:rsidRDefault="00AE2FE1" w:rsidP="00AE2FE1">
            <w:pPr>
              <w:jc w:val="both"/>
              <w:rPr>
                <w:rFonts w:ascii="Century Gothic" w:hAnsi="Century Gothic"/>
                <w:color w:val="404040" w:themeColor="text1" w:themeTint="BF"/>
                <w:sz w:val="16"/>
                <w:szCs w:val="19"/>
              </w:rPr>
            </w:pPr>
          </w:p>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M</w:t>
            </w:r>
            <w:r w:rsidR="00AE2FE1" w:rsidRPr="00065FC0">
              <w:rPr>
                <w:rFonts w:ascii="Century Gothic" w:hAnsi="Century Gothic"/>
                <w:color w:val="404040" w:themeColor="text1" w:themeTint="BF"/>
                <w:sz w:val="19"/>
                <w:szCs w:val="19"/>
              </w:rPr>
              <w:t>anage poor performance and attendance to prevent a burden on other staff</w:t>
            </w:r>
            <w:r>
              <w:rPr>
                <w:rFonts w:ascii="Century Gothic" w:hAnsi="Century Gothic"/>
                <w:color w:val="404040" w:themeColor="text1" w:themeTint="BF"/>
                <w:sz w:val="19"/>
                <w:szCs w:val="19"/>
              </w:rPr>
              <w:t>.</w:t>
            </w:r>
          </w:p>
          <w:p w:rsidR="00AE2FE1" w:rsidRPr="00951D08" w:rsidRDefault="00AE2FE1" w:rsidP="00AE2FE1">
            <w:pPr>
              <w:jc w:val="both"/>
              <w:rPr>
                <w:rFonts w:ascii="Century Gothic" w:hAnsi="Century Gothic"/>
                <w:color w:val="404040" w:themeColor="text1" w:themeTint="BF"/>
                <w:sz w:val="16"/>
                <w:szCs w:val="19"/>
              </w:rPr>
            </w:pPr>
          </w:p>
          <w:p w:rsidR="00AE2FE1" w:rsidRPr="00065FC0" w:rsidRDefault="009C742C" w:rsidP="00AE2FE1">
            <w:pPr>
              <w:pStyle w:val="ListParagraph"/>
              <w:numPr>
                <w:ilvl w:val="1"/>
                <w:numId w:val="6"/>
              </w:numPr>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E</w:t>
            </w:r>
            <w:r w:rsidR="00AE2FE1" w:rsidRPr="00065FC0">
              <w:rPr>
                <w:rFonts w:ascii="Century Gothic" w:hAnsi="Century Gothic"/>
                <w:color w:val="404040" w:themeColor="text1" w:themeTint="BF"/>
                <w:sz w:val="19"/>
                <w:szCs w:val="19"/>
              </w:rPr>
              <w:t xml:space="preserve">nsure </w:t>
            </w:r>
            <w:proofErr w:type="gramStart"/>
            <w:r w:rsidR="00AE2FE1" w:rsidRPr="00065FC0">
              <w:rPr>
                <w:rFonts w:ascii="Century Gothic" w:hAnsi="Century Gothic"/>
                <w:color w:val="404040" w:themeColor="text1" w:themeTint="BF"/>
                <w:sz w:val="19"/>
                <w:szCs w:val="19"/>
              </w:rPr>
              <w:t>staff are</w:t>
            </w:r>
            <w:proofErr w:type="gramEnd"/>
            <w:r w:rsidR="00AE2FE1" w:rsidRPr="00065FC0">
              <w:rPr>
                <w:rFonts w:ascii="Century Gothic" w:hAnsi="Century Gothic"/>
                <w:color w:val="404040" w:themeColor="text1" w:themeTint="BF"/>
                <w:sz w:val="19"/>
                <w:szCs w:val="19"/>
              </w:rPr>
              <w:t xml:space="preserve"> not working excessive or unreasonable hours</w:t>
            </w:r>
            <w:r>
              <w:rPr>
                <w:rFonts w:ascii="Century Gothic" w:hAnsi="Century Gothic"/>
                <w:color w:val="404040" w:themeColor="text1" w:themeTint="BF"/>
                <w:sz w:val="19"/>
                <w:szCs w:val="19"/>
              </w:rPr>
              <w:t>.</w:t>
            </w:r>
          </w:p>
          <w:p w:rsidR="00AE2FE1" w:rsidRPr="00951D08" w:rsidRDefault="00AE2FE1" w:rsidP="009C742C">
            <w:pPr>
              <w:ind w:firstLine="720"/>
              <w:jc w:val="both"/>
              <w:rPr>
                <w:rFonts w:ascii="Century Gothic" w:hAnsi="Century Gothic"/>
                <w:color w:val="404040" w:themeColor="text1" w:themeTint="BF"/>
                <w:sz w:val="16"/>
                <w:szCs w:val="19"/>
              </w:rPr>
            </w:pPr>
          </w:p>
          <w:p w:rsidR="00AE2FE1" w:rsidRPr="00AE2FE1" w:rsidRDefault="009C742C" w:rsidP="00AE2FE1">
            <w:pPr>
              <w:pStyle w:val="ListParagraph"/>
              <w:numPr>
                <w:ilvl w:val="1"/>
                <w:numId w:val="6"/>
              </w:numPr>
              <w:jc w:val="both"/>
              <w:rPr>
                <w:rFonts w:ascii="Century Gothic" w:hAnsi="Century Gothic"/>
                <w:color w:val="E36C0A" w:themeColor="accent6" w:themeShade="BF"/>
                <w:sz w:val="19"/>
                <w:szCs w:val="19"/>
              </w:rPr>
            </w:pPr>
            <w:r>
              <w:rPr>
                <w:rFonts w:ascii="Century Gothic" w:hAnsi="Century Gothic"/>
                <w:color w:val="404040" w:themeColor="text1" w:themeTint="BF"/>
                <w:sz w:val="19"/>
                <w:szCs w:val="19"/>
              </w:rPr>
              <w:t>E</w:t>
            </w:r>
            <w:r w:rsidR="00AE2FE1" w:rsidRPr="00065FC0">
              <w:rPr>
                <w:rFonts w:ascii="Century Gothic" w:hAnsi="Century Gothic"/>
                <w:color w:val="404040" w:themeColor="text1" w:themeTint="BF"/>
                <w:sz w:val="19"/>
                <w:szCs w:val="19"/>
              </w:rPr>
              <w:t>nsure that bullying and harassment are not tolerated.</w:t>
            </w:r>
          </w:p>
        </w:tc>
      </w:tr>
      <w:tr w:rsidR="005216F3" w:rsidTr="00AE2FE1">
        <w:tc>
          <w:tcPr>
            <w:tcW w:w="9016" w:type="dxa"/>
            <w:gridSpan w:val="2"/>
          </w:tcPr>
          <w:p w:rsidR="00065FC0" w:rsidRDefault="00065FC0" w:rsidP="005216F3">
            <w:pPr>
              <w:rPr>
                <w:rFonts w:ascii="Century Gothic" w:hAnsi="Century Gothic"/>
                <w:b/>
                <w:color w:val="17365D" w:themeColor="text2" w:themeShade="BF"/>
                <w:sz w:val="15"/>
                <w:szCs w:val="15"/>
              </w:rPr>
            </w:pPr>
            <w:bookmarkStart w:id="0" w:name="_GoBack"/>
            <w:bookmarkEnd w:id="0"/>
          </w:p>
          <w:p w:rsidR="00065FC0" w:rsidRPr="00CF2E2F" w:rsidRDefault="00065FC0" w:rsidP="005216F3">
            <w:pPr>
              <w:rPr>
                <w:rFonts w:ascii="Century Gothic" w:hAnsi="Century Gothic"/>
                <w:b/>
                <w:color w:val="38424A"/>
                <w:sz w:val="15"/>
                <w:szCs w:val="15"/>
              </w:rPr>
            </w:pPr>
            <w:r w:rsidRPr="00CF2E2F">
              <w:rPr>
                <w:rFonts w:ascii="Century Gothic" w:hAnsi="Century Gothic"/>
                <w:b/>
                <w:color w:val="38424A"/>
                <w:sz w:val="15"/>
                <w:szCs w:val="15"/>
              </w:rPr>
              <w:t>D</w:t>
            </w:r>
            <w:r w:rsidR="005216F3" w:rsidRPr="00CF2E2F">
              <w:rPr>
                <w:rFonts w:ascii="Century Gothic" w:hAnsi="Century Gothic"/>
                <w:b/>
                <w:color w:val="38424A"/>
                <w:sz w:val="15"/>
                <w:szCs w:val="15"/>
              </w:rPr>
              <w:t>isclaimer</w:t>
            </w:r>
          </w:p>
          <w:p w:rsidR="009C742C" w:rsidRDefault="009C742C" w:rsidP="005216F3">
            <w:pPr>
              <w:rPr>
                <w:rFonts w:ascii="Century Gothic" w:hAnsi="Century Gothic"/>
                <w:color w:val="38424A"/>
                <w:sz w:val="15"/>
                <w:szCs w:val="15"/>
              </w:rPr>
            </w:pPr>
          </w:p>
          <w:p w:rsidR="005216F3" w:rsidRPr="00CF2E2F" w:rsidRDefault="005216F3" w:rsidP="005216F3">
            <w:pPr>
              <w:rPr>
                <w:rFonts w:ascii="Century Gothic" w:hAnsi="Century Gothic"/>
                <w:color w:val="38424A"/>
                <w:sz w:val="15"/>
                <w:szCs w:val="15"/>
              </w:rPr>
            </w:pPr>
            <w:proofErr w:type="gramStart"/>
            <w:r w:rsidRPr="00CF2E2F">
              <w:rPr>
                <w:rFonts w:ascii="Century Gothic" w:hAnsi="Century Gothic"/>
                <w:color w:val="38424A"/>
                <w:sz w:val="15"/>
                <w:szCs w:val="15"/>
              </w:rPr>
              <w:t>These example</w:t>
            </w:r>
            <w:proofErr w:type="gramEnd"/>
            <w:r w:rsidRPr="00CF2E2F">
              <w:rPr>
                <w:rFonts w:ascii="Century Gothic" w:hAnsi="Century Gothic"/>
                <w:color w:val="38424A"/>
                <w:sz w:val="15"/>
                <w:szCs w:val="15"/>
              </w:rPr>
              <w:t xml:space="preserve"> Director’s Briefings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Hettle Andrews does not accept any liability whatsoever for injury, damage or other losses which may arise from reliance on this information and the use of these documents. </w:t>
            </w:r>
          </w:p>
          <w:p w:rsidR="005216F3" w:rsidRPr="00CF2E2F" w:rsidRDefault="005216F3" w:rsidP="005216F3">
            <w:pPr>
              <w:rPr>
                <w:rFonts w:ascii="Century Gothic" w:hAnsi="Century Gothic"/>
                <w:color w:val="38424A"/>
                <w:sz w:val="15"/>
                <w:szCs w:val="15"/>
              </w:rPr>
            </w:pPr>
          </w:p>
          <w:p w:rsidR="005216F3" w:rsidRDefault="005216F3" w:rsidP="005216F3">
            <w:pPr>
              <w:rPr>
                <w:rFonts w:ascii="Century Gothic" w:hAnsi="Century Gothic"/>
                <w:color w:val="E36C0A" w:themeColor="accent6" w:themeShade="BF"/>
                <w:sz w:val="20"/>
                <w:szCs w:val="20"/>
              </w:rPr>
            </w:pPr>
            <w:r w:rsidRPr="00CF2E2F">
              <w:rPr>
                <w:rFonts w:ascii="Century Gothic" w:hAnsi="Century Gothic"/>
                <w:color w:val="38424A"/>
                <w:sz w:val="15"/>
                <w:szCs w:val="15"/>
              </w:rPr>
              <w:t>Copyright of these documents remains with Hettle Andrews and whilst subscribers are permitted to make use of them for their own purposes, permission is not granted for resale of the intellectual property to third parties.</w:t>
            </w:r>
          </w:p>
        </w:tc>
      </w:tr>
    </w:tbl>
    <w:p w:rsidR="009352A5" w:rsidRDefault="009352A5" w:rsidP="009C742C">
      <w:pPr>
        <w:rPr>
          <w:rFonts w:ascii="Century Gothic" w:hAnsi="Century Gothic"/>
          <w:color w:val="E36C0A" w:themeColor="accent6" w:themeShade="BF"/>
          <w:sz w:val="20"/>
          <w:szCs w:val="20"/>
        </w:rPr>
      </w:pPr>
    </w:p>
    <w:sectPr w:rsidR="009352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A5" w:rsidRDefault="009352A5" w:rsidP="009352A5">
      <w:r>
        <w:separator/>
      </w:r>
    </w:p>
  </w:endnote>
  <w:endnote w:type="continuationSeparator" w:id="0">
    <w:p w:rsidR="009352A5" w:rsidRDefault="009352A5" w:rsidP="009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tone Sans ITC-Medium">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A5" w:rsidRDefault="009352A5" w:rsidP="009352A5">
      <w:r>
        <w:separator/>
      </w:r>
    </w:p>
  </w:footnote>
  <w:footnote w:type="continuationSeparator" w:id="0">
    <w:p w:rsidR="009352A5" w:rsidRDefault="009352A5" w:rsidP="0093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A5" w:rsidRDefault="009352A5">
    <w:pPr>
      <w:pStyle w:val="Header"/>
    </w:pPr>
    <w:r w:rsidRPr="009352A5">
      <w:rPr>
        <w:noProof/>
        <w:lang w:val="en-GB" w:eastAsia="en-GB"/>
      </w:rPr>
      <w:drawing>
        <wp:anchor distT="0" distB="0" distL="114300" distR="114300" simplePos="0" relativeHeight="251659264" behindDoc="1" locked="0" layoutInCell="1" allowOverlap="1" wp14:anchorId="651CE920" wp14:editId="21285D93">
          <wp:simplePos x="0" y="0"/>
          <wp:positionH relativeFrom="column">
            <wp:align>center</wp:align>
          </wp:positionH>
          <wp:positionV relativeFrom="paragraph">
            <wp:posOffset>-209550</wp:posOffset>
          </wp:positionV>
          <wp:extent cx="2995200" cy="586800"/>
          <wp:effectExtent l="0" t="0" r="0" b="3810"/>
          <wp:wrapNone/>
          <wp:docPr id="2" name="Picture 2"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52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2A5">
      <w:rPr>
        <w:noProof/>
        <w:lang w:val="en-GB" w:eastAsia="en-GB"/>
      </w:rPr>
      <mc:AlternateContent>
        <mc:Choice Requires="wps">
          <w:drawing>
            <wp:anchor distT="0" distB="0" distL="114300" distR="114300" simplePos="0" relativeHeight="251660288" behindDoc="0" locked="0" layoutInCell="1" allowOverlap="1" wp14:anchorId="575D596D" wp14:editId="333C8BA2">
              <wp:simplePos x="0" y="0"/>
              <wp:positionH relativeFrom="column">
                <wp:posOffset>-1000125</wp:posOffset>
              </wp:positionH>
              <wp:positionV relativeFrom="page">
                <wp:posOffset>866775</wp:posOffset>
              </wp:positionV>
              <wp:extent cx="7800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80097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28A48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8.75pt,68.25pt" to="535.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" strokecolor="#f79646 [3209]" strokeweight="1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695"/>
    <w:multiLevelType w:val="hybridMultilevel"/>
    <w:tmpl w:val="6F324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A3BB8"/>
    <w:multiLevelType w:val="hybridMultilevel"/>
    <w:tmpl w:val="A16C21E0"/>
    <w:lvl w:ilvl="0" w:tplc="4D58820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F2DEC"/>
    <w:multiLevelType w:val="hybridMultilevel"/>
    <w:tmpl w:val="D1A8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43912"/>
    <w:multiLevelType w:val="hybridMultilevel"/>
    <w:tmpl w:val="CA603F30"/>
    <w:lvl w:ilvl="0" w:tplc="DBF83B2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752CC"/>
    <w:multiLevelType w:val="hybridMultilevel"/>
    <w:tmpl w:val="2BA2443A"/>
    <w:lvl w:ilvl="0" w:tplc="08090001">
      <w:start w:val="1"/>
      <w:numFmt w:val="bullet"/>
      <w:lvlText w:val=""/>
      <w:lvlJc w:val="left"/>
      <w:pPr>
        <w:ind w:left="360" w:hanging="360"/>
      </w:pPr>
      <w:rPr>
        <w:rFonts w:ascii="Symbol" w:hAnsi="Symbol" w:hint="default"/>
      </w:rPr>
    </w:lvl>
    <w:lvl w:ilvl="1" w:tplc="DFA6A4C2">
      <w:numFmt w:val="bullet"/>
      <w:lvlText w:val="•"/>
      <w:lvlJc w:val="left"/>
      <w:pPr>
        <w:ind w:left="1080" w:hanging="360"/>
      </w:pPr>
      <w:rPr>
        <w:rFonts w:ascii="Century Gothic" w:eastAsia="Times New Roman" w:hAnsi="Century Gothic"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6A24D2"/>
    <w:multiLevelType w:val="hybridMultilevel"/>
    <w:tmpl w:val="4FF4ABC0"/>
    <w:lvl w:ilvl="0" w:tplc="08090001">
      <w:start w:val="1"/>
      <w:numFmt w:val="bullet"/>
      <w:lvlText w:val=""/>
      <w:lvlJc w:val="left"/>
      <w:pPr>
        <w:ind w:left="720" w:hanging="360"/>
      </w:pPr>
      <w:rPr>
        <w:rFonts w:ascii="Symbol" w:hAnsi="Symbol" w:hint="default"/>
      </w:rPr>
    </w:lvl>
    <w:lvl w:ilvl="1" w:tplc="51DCE9FC">
      <w:start w:val="1"/>
      <w:numFmt w:val="bullet"/>
      <w:lvlText w:val=""/>
      <w:lvlJc w:val="left"/>
      <w:pPr>
        <w:ind w:left="502" w:hanging="360"/>
      </w:pPr>
      <w:rPr>
        <w:rFonts w:ascii="Symbol" w:hAnsi="Symbol" w:hint="default"/>
        <w:color w:val="404040" w:themeColor="text1" w:themeTint="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16A35"/>
    <w:multiLevelType w:val="hybridMultilevel"/>
    <w:tmpl w:val="7E420A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BB267C"/>
    <w:multiLevelType w:val="hybridMultilevel"/>
    <w:tmpl w:val="5A4C9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A5"/>
    <w:rsid w:val="00065FC0"/>
    <w:rsid w:val="00142994"/>
    <w:rsid w:val="001545C3"/>
    <w:rsid w:val="001A0DC8"/>
    <w:rsid w:val="00396BAE"/>
    <w:rsid w:val="00453F73"/>
    <w:rsid w:val="00481421"/>
    <w:rsid w:val="004C6B96"/>
    <w:rsid w:val="005216F3"/>
    <w:rsid w:val="005470D4"/>
    <w:rsid w:val="005C28B4"/>
    <w:rsid w:val="008C71DB"/>
    <w:rsid w:val="009352A5"/>
    <w:rsid w:val="00951D08"/>
    <w:rsid w:val="009C742C"/>
    <w:rsid w:val="00AE2FE1"/>
    <w:rsid w:val="00B973C5"/>
    <w:rsid w:val="00BB0E78"/>
    <w:rsid w:val="00CF2E2F"/>
    <w:rsid w:val="00D314D5"/>
    <w:rsid w:val="00EB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paragraph" w:styleId="Header">
    <w:name w:val="header"/>
    <w:basedOn w:val="Normal"/>
    <w:link w:val="HeaderChar"/>
    <w:uiPriority w:val="99"/>
    <w:unhideWhenUsed/>
    <w:rsid w:val="009352A5"/>
    <w:pPr>
      <w:tabs>
        <w:tab w:val="center" w:pos="4513"/>
        <w:tab w:val="right" w:pos="9026"/>
      </w:tabs>
    </w:pPr>
  </w:style>
  <w:style w:type="character" w:customStyle="1" w:styleId="HeaderChar">
    <w:name w:val="Header Char"/>
    <w:basedOn w:val="DefaultParagraphFont"/>
    <w:link w:val="Header"/>
    <w:uiPriority w:val="99"/>
    <w:rsid w:val="009352A5"/>
    <w:rPr>
      <w:sz w:val="24"/>
      <w:szCs w:val="24"/>
      <w:lang w:val="en-US"/>
    </w:rPr>
  </w:style>
  <w:style w:type="paragraph" w:styleId="Footer">
    <w:name w:val="footer"/>
    <w:basedOn w:val="Normal"/>
    <w:link w:val="FooterChar"/>
    <w:uiPriority w:val="99"/>
    <w:unhideWhenUsed/>
    <w:rsid w:val="009352A5"/>
    <w:pPr>
      <w:tabs>
        <w:tab w:val="center" w:pos="4513"/>
        <w:tab w:val="right" w:pos="9026"/>
      </w:tabs>
    </w:pPr>
  </w:style>
  <w:style w:type="character" w:customStyle="1" w:styleId="FooterChar">
    <w:name w:val="Footer Char"/>
    <w:basedOn w:val="DefaultParagraphFont"/>
    <w:link w:val="Footer"/>
    <w:uiPriority w:val="99"/>
    <w:rsid w:val="009352A5"/>
    <w:rPr>
      <w:sz w:val="24"/>
      <w:szCs w:val="24"/>
      <w:lang w:val="en-US"/>
    </w:rPr>
  </w:style>
  <w:style w:type="table" w:styleId="TableGrid">
    <w:name w:val="Table Grid"/>
    <w:basedOn w:val="TableNormal"/>
    <w:uiPriority w:val="59"/>
    <w:rsid w:val="0093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paragraph" w:styleId="Header">
    <w:name w:val="header"/>
    <w:basedOn w:val="Normal"/>
    <w:link w:val="HeaderChar"/>
    <w:uiPriority w:val="99"/>
    <w:unhideWhenUsed/>
    <w:rsid w:val="009352A5"/>
    <w:pPr>
      <w:tabs>
        <w:tab w:val="center" w:pos="4513"/>
        <w:tab w:val="right" w:pos="9026"/>
      </w:tabs>
    </w:pPr>
  </w:style>
  <w:style w:type="character" w:customStyle="1" w:styleId="HeaderChar">
    <w:name w:val="Header Char"/>
    <w:basedOn w:val="DefaultParagraphFont"/>
    <w:link w:val="Header"/>
    <w:uiPriority w:val="99"/>
    <w:rsid w:val="009352A5"/>
    <w:rPr>
      <w:sz w:val="24"/>
      <w:szCs w:val="24"/>
      <w:lang w:val="en-US"/>
    </w:rPr>
  </w:style>
  <w:style w:type="paragraph" w:styleId="Footer">
    <w:name w:val="footer"/>
    <w:basedOn w:val="Normal"/>
    <w:link w:val="FooterChar"/>
    <w:uiPriority w:val="99"/>
    <w:unhideWhenUsed/>
    <w:rsid w:val="009352A5"/>
    <w:pPr>
      <w:tabs>
        <w:tab w:val="center" w:pos="4513"/>
        <w:tab w:val="right" w:pos="9026"/>
      </w:tabs>
    </w:pPr>
  </w:style>
  <w:style w:type="character" w:customStyle="1" w:styleId="FooterChar">
    <w:name w:val="Footer Char"/>
    <w:basedOn w:val="DefaultParagraphFont"/>
    <w:link w:val="Footer"/>
    <w:uiPriority w:val="99"/>
    <w:rsid w:val="009352A5"/>
    <w:rPr>
      <w:sz w:val="24"/>
      <w:szCs w:val="24"/>
      <w:lang w:val="en-US"/>
    </w:rPr>
  </w:style>
  <w:style w:type="table" w:styleId="TableGrid">
    <w:name w:val="Table Grid"/>
    <w:basedOn w:val="TableNormal"/>
    <w:uiPriority w:val="59"/>
    <w:rsid w:val="0093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Steven  Cox</cp:lastModifiedBy>
  <cp:revision>2</cp:revision>
  <cp:lastPrinted>2015-08-04T16:00:00Z</cp:lastPrinted>
  <dcterms:created xsi:type="dcterms:W3CDTF">2017-09-12T12:39:00Z</dcterms:created>
  <dcterms:modified xsi:type="dcterms:W3CDTF">2017-09-12T12:39:00Z</dcterms:modified>
</cp:coreProperties>
</file>