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267C5" w14:textId="3C0825D6" w:rsidR="00CC5C8C" w:rsidRPr="007D2BE6" w:rsidRDefault="007D2BE6" w:rsidP="007D2BE6">
      <w:pPr>
        <w:pStyle w:val="Heading1"/>
      </w:pPr>
      <w:r w:rsidRPr="007D2BE6">
        <w:t>Wor</w:t>
      </w:r>
      <w:r w:rsidR="00CC5C8C" w:rsidRPr="007D2BE6">
        <w:t xml:space="preserve">king from Home: </w:t>
      </w:r>
      <w:r w:rsidR="00DE70F9" w:rsidRPr="007D2BE6">
        <w:t>Brief</w:t>
      </w:r>
      <w:r w:rsidR="00CC5C8C" w:rsidRPr="007D2BE6">
        <w:t xml:space="preserve"> Guide for Employe</w:t>
      </w:r>
      <w:r w:rsidR="007A06EF" w:rsidRPr="007D2BE6">
        <w:t>rs</w:t>
      </w:r>
    </w:p>
    <w:p w14:paraId="6457954A" w14:textId="07A0E432" w:rsidR="007A06EF" w:rsidRPr="007D2BE6" w:rsidRDefault="007A06EF" w:rsidP="00976C37">
      <w:pPr>
        <w:jc w:val="both"/>
        <w:rPr>
          <w:rFonts w:asciiTheme="minorHAnsi" w:hAnsiTheme="minorHAnsi" w:cstheme="minorHAnsi"/>
          <w:szCs w:val="20"/>
        </w:rPr>
      </w:pPr>
      <w:r w:rsidRPr="007D2BE6">
        <w:rPr>
          <w:rFonts w:asciiTheme="minorHAnsi" w:hAnsiTheme="minorHAnsi" w:cstheme="minorHAnsi"/>
          <w:szCs w:val="20"/>
        </w:rPr>
        <w:t>As more and more employees are being asked to work from home to help control the spread of COVID-19, employers are being faced with the task of ensur</w:t>
      </w:r>
      <w:r w:rsidR="00645E03" w:rsidRPr="007D2BE6">
        <w:rPr>
          <w:rFonts w:asciiTheme="minorHAnsi" w:hAnsiTheme="minorHAnsi" w:cstheme="minorHAnsi"/>
          <w:szCs w:val="20"/>
        </w:rPr>
        <w:t>ing</w:t>
      </w:r>
      <w:r w:rsidRPr="007D2BE6">
        <w:rPr>
          <w:rFonts w:asciiTheme="minorHAnsi" w:hAnsiTheme="minorHAnsi" w:cstheme="minorHAnsi"/>
          <w:szCs w:val="20"/>
        </w:rPr>
        <w:t xml:space="preserve"> th</w:t>
      </w:r>
      <w:r w:rsidR="00F9660E" w:rsidRPr="007D2BE6">
        <w:rPr>
          <w:rFonts w:asciiTheme="minorHAnsi" w:hAnsiTheme="minorHAnsi" w:cstheme="minorHAnsi"/>
          <w:szCs w:val="20"/>
        </w:rPr>
        <w:t xml:space="preserve">at suitable measures are in place to protect and promote the health, safety and welfare of their employees while they are working from home. </w:t>
      </w:r>
      <w:r w:rsidR="00645E03" w:rsidRPr="007D2BE6">
        <w:rPr>
          <w:rFonts w:asciiTheme="minorHAnsi" w:hAnsiTheme="minorHAnsi" w:cstheme="minorHAnsi"/>
          <w:szCs w:val="20"/>
        </w:rPr>
        <w:t xml:space="preserve">  </w:t>
      </w:r>
    </w:p>
    <w:p w14:paraId="425EF4DB" w14:textId="77777777" w:rsidR="007D2BE6" w:rsidRPr="007D2BE6" w:rsidRDefault="007D2BE6" w:rsidP="00976C37">
      <w:pPr>
        <w:jc w:val="both"/>
        <w:rPr>
          <w:rFonts w:asciiTheme="minorHAnsi" w:hAnsiTheme="minorHAnsi" w:cstheme="minorHAnsi"/>
          <w:szCs w:val="20"/>
        </w:rPr>
      </w:pPr>
    </w:p>
    <w:p w14:paraId="45C99B4E" w14:textId="2C78D06B" w:rsidR="00645E03" w:rsidRPr="007D2BE6" w:rsidRDefault="00645E03" w:rsidP="00976C37">
      <w:pPr>
        <w:jc w:val="both"/>
        <w:rPr>
          <w:rFonts w:asciiTheme="minorHAnsi" w:hAnsiTheme="minorHAnsi" w:cstheme="minorHAnsi"/>
          <w:szCs w:val="20"/>
        </w:rPr>
      </w:pPr>
      <w:r w:rsidRPr="007D2BE6">
        <w:rPr>
          <w:rFonts w:asciiTheme="minorHAnsi" w:hAnsiTheme="minorHAnsi" w:cstheme="minorHAnsi"/>
          <w:szCs w:val="20"/>
        </w:rPr>
        <w:t xml:space="preserve">In this brief guide we will look at </w:t>
      </w:r>
      <w:r w:rsidR="00F9660E" w:rsidRPr="007D2BE6">
        <w:rPr>
          <w:rFonts w:asciiTheme="minorHAnsi" w:hAnsiTheme="minorHAnsi" w:cstheme="minorHAnsi"/>
          <w:szCs w:val="20"/>
        </w:rPr>
        <w:t xml:space="preserve">the </w:t>
      </w:r>
      <w:r w:rsidRPr="007D2BE6">
        <w:rPr>
          <w:rFonts w:asciiTheme="minorHAnsi" w:hAnsiTheme="minorHAnsi" w:cstheme="minorHAnsi"/>
          <w:szCs w:val="20"/>
        </w:rPr>
        <w:t>responsibilit</w:t>
      </w:r>
      <w:r w:rsidR="00F9660E" w:rsidRPr="007D2BE6">
        <w:rPr>
          <w:rFonts w:asciiTheme="minorHAnsi" w:hAnsiTheme="minorHAnsi" w:cstheme="minorHAnsi"/>
          <w:szCs w:val="20"/>
        </w:rPr>
        <w:t>ies that you have as an employer for t</w:t>
      </w:r>
      <w:r w:rsidRPr="007D2BE6">
        <w:rPr>
          <w:rFonts w:asciiTheme="minorHAnsi" w:hAnsiTheme="minorHAnsi" w:cstheme="minorHAnsi"/>
          <w:szCs w:val="20"/>
        </w:rPr>
        <w:t xml:space="preserve">he safety and wellbeing of </w:t>
      </w:r>
      <w:r w:rsidR="00F9660E" w:rsidRPr="007D2BE6">
        <w:rPr>
          <w:rFonts w:asciiTheme="minorHAnsi" w:hAnsiTheme="minorHAnsi" w:cstheme="minorHAnsi"/>
          <w:szCs w:val="20"/>
        </w:rPr>
        <w:t xml:space="preserve">your </w:t>
      </w:r>
      <w:r w:rsidRPr="007D2BE6">
        <w:rPr>
          <w:rFonts w:asciiTheme="minorHAnsi" w:hAnsiTheme="minorHAnsi" w:cstheme="minorHAnsi"/>
          <w:szCs w:val="20"/>
        </w:rPr>
        <w:t xml:space="preserve">employees who are working </w:t>
      </w:r>
      <w:r w:rsidR="00F9660E" w:rsidRPr="007D2BE6">
        <w:rPr>
          <w:rFonts w:asciiTheme="minorHAnsi" w:hAnsiTheme="minorHAnsi" w:cstheme="minorHAnsi"/>
          <w:szCs w:val="20"/>
        </w:rPr>
        <w:t>from home</w:t>
      </w:r>
      <w:r w:rsidRPr="007D2BE6">
        <w:rPr>
          <w:rFonts w:asciiTheme="minorHAnsi" w:hAnsiTheme="minorHAnsi" w:cstheme="minorHAnsi"/>
          <w:szCs w:val="20"/>
        </w:rPr>
        <w:t xml:space="preserve">, and how you can help to </w:t>
      </w:r>
      <w:r w:rsidR="00F9660E" w:rsidRPr="007D2BE6">
        <w:rPr>
          <w:rFonts w:asciiTheme="minorHAnsi" w:hAnsiTheme="minorHAnsi" w:cstheme="minorHAnsi"/>
          <w:szCs w:val="20"/>
        </w:rPr>
        <w:t xml:space="preserve">protect their physical and mental </w:t>
      </w:r>
      <w:r w:rsidR="002D33E6" w:rsidRPr="007D2BE6">
        <w:rPr>
          <w:rFonts w:asciiTheme="minorHAnsi" w:hAnsiTheme="minorHAnsi" w:cstheme="minorHAnsi"/>
          <w:szCs w:val="20"/>
        </w:rPr>
        <w:t>wellbeing</w:t>
      </w:r>
      <w:r w:rsidR="00F9660E" w:rsidRPr="007D2BE6">
        <w:rPr>
          <w:rFonts w:asciiTheme="minorHAnsi" w:hAnsiTheme="minorHAnsi" w:cstheme="minorHAnsi"/>
          <w:szCs w:val="20"/>
        </w:rPr>
        <w:t xml:space="preserve"> during this challenging time. </w:t>
      </w:r>
    </w:p>
    <w:p w14:paraId="35C097E7" w14:textId="77777777" w:rsidR="007D2BE6" w:rsidRPr="007D2BE6" w:rsidRDefault="007D2BE6" w:rsidP="00976C37">
      <w:pPr>
        <w:jc w:val="both"/>
        <w:rPr>
          <w:rFonts w:asciiTheme="minorHAnsi" w:hAnsiTheme="minorHAnsi" w:cstheme="minorHAnsi"/>
          <w:szCs w:val="20"/>
        </w:rPr>
      </w:pPr>
    </w:p>
    <w:p w14:paraId="74B5428C" w14:textId="44D026B2" w:rsidR="00F9660E" w:rsidRPr="007D2BE6" w:rsidRDefault="00F9660E" w:rsidP="00976C37">
      <w:pPr>
        <w:jc w:val="both"/>
        <w:rPr>
          <w:rFonts w:asciiTheme="minorHAnsi" w:hAnsiTheme="minorHAnsi" w:cstheme="minorHAnsi"/>
          <w:b/>
          <w:bCs/>
          <w:color w:val="F69F19" w:themeColor="background1"/>
          <w:szCs w:val="20"/>
        </w:rPr>
      </w:pPr>
      <w:r w:rsidRPr="007D2BE6">
        <w:rPr>
          <w:rFonts w:asciiTheme="minorHAnsi" w:hAnsiTheme="minorHAnsi" w:cstheme="minorHAnsi"/>
          <w:b/>
          <w:bCs/>
          <w:color w:val="F69F19" w:themeColor="background1"/>
          <w:szCs w:val="20"/>
        </w:rPr>
        <w:t xml:space="preserve">Employer’s Responsibilities </w:t>
      </w:r>
    </w:p>
    <w:p w14:paraId="05596723" w14:textId="77777777" w:rsidR="007D2BE6" w:rsidRPr="007D2BE6" w:rsidRDefault="007D2BE6" w:rsidP="00976C37">
      <w:pPr>
        <w:jc w:val="both"/>
        <w:rPr>
          <w:rFonts w:asciiTheme="minorHAnsi" w:hAnsiTheme="minorHAnsi" w:cstheme="minorHAnsi"/>
          <w:sz w:val="10"/>
          <w:szCs w:val="10"/>
        </w:rPr>
      </w:pPr>
    </w:p>
    <w:p w14:paraId="1218FBD6" w14:textId="51D64A62" w:rsidR="00F9660E" w:rsidRPr="007D2BE6" w:rsidRDefault="006B6F34" w:rsidP="00976C37">
      <w:pPr>
        <w:jc w:val="both"/>
        <w:rPr>
          <w:rFonts w:asciiTheme="minorHAnsi" w:hAnsiTheme="minorHAnsi" w:cstheme="minorHAnsi"/>
          <w:szCs w:val="20"/>
        </w:rPr>
      </w:pPr>
      <w:r w:rsidRPr="007D2BE6">
        <w:rPr>
          <w:rFonts w:asciiTheme="minorHAnsi" w:hAnsiTheme="minorHAnsi" w:cstheme="minorHAnsi"/>
          <w:noProof/>
        </w:rPr>
        <w:drawing>
          <wp:anchor distT="0" distB="0" distL="114300" distR="114300" simplePos="0" relativeHeight="251666432" behindDoc="0" locked="0" layoutInCell="1" allowOverlap="1" wp14:anchorId="104D23F4" wp14:editId="16AB1641">
            <wp:simplePos x="0" y="0"/>
            <wp:positionH relativeFrom="margin">
              <wp:posOffset>3971290</wp:posOffset>
            </wp:positionH>
            <wp:positionV relativeFrom="paragraph">
              <wp:posOffset>11430</wp:posOffset>
            </wp:positionV>
            <wp:extent cx="2195830" cy="2066925"/>
            <wp:effectExtent l="0" t="0" r="0" b="9525"/>
            <wp:wrapSquare wrapText="bothSides"/>
            <wp:docPr id="5" name="Picture 5" descr="Image result for health and safety at work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alth and safety at work act"/>
                    <pic:cNvPicPr>
                      <a:picLocks noChangeAspect="1" noChangeArrowheads="1"/>
                    </pic:cNvPicPr>
                  </pic:nvPicPr>
                  <pic:blipFill rotWithShape="1">
                    <a:blip r:embed="rId10">
                      <a:extLst>
                        <a:ext uri="{28A0092B-C50C-407E-A947-70E740481C1C}">
                          <a14:useLocalDpi xmlns:a14="http://schemas.microsoft.com/office/drawing/2010/main" val="0"/>
                        </a:ext>
                      </a:extLst>
                    </a:blip>
                    <a:srcRect t="5882"/>
                    <a:stretch/>
                  </pic:blipFill>
                  <pic:spPr bwMode="auto">
                    <a:xfrm>
                      <a:off x="0" y="0"/>
                      <a:ext cx="2195830" cy="2066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660E" w:rsidRPr="007D2BE6">
        <w:rPr>
          <w:rFonts w:asciiTheme="minorHAnsi" w:hAnsiTheme="minorHAnsi" w:cstheme="minorHAnsi"/>
          <w:szCs w:val="20"/>
        </w:rPr>
        <w:t>The general dut</w:t>
      </w:r>
      <w:r w:rsidRPr="007D2BE6">
        <w:rPr>
          <w:rFonts w:asciiTheme="minorHAnsi" w:hAnsiTheme="minorHAnsi" w:cstheme="minorHAnsi"/>
          <w:szCs w:val="20"/>
        </w:rPr>
        <w:t>y</w:t>
      </w:r>
      <w:r w:rsidR="00F9660E" w:rsidRPr="007D2BE6">
        <w:rPr>
          <w:rFonts w:asciiTheme="minorHAnsi" w:hAnsiTheme="minorHAnsi" w:cstheme="minorHAnsi"/>
          <w:szCs w:val="20"/>
        </w:rPr>
        <w:t xml:space="preserve"> o</w:t>
      </w:r>
      <w:r w:rsidR="002D33E6" w:rsidRPr="007D2BE6">
        <w:rPr>
          <w:rFonts w:asciiTheme="minorHAnsi" w:hAnsiTheme="minorHAnsi" w:cstheme="minorHAnsi"/>
          <w:szCs w:val="20"/>
        </w:rPr>
        <w:t>n</w:t>
      </w:r>
      <w:r w:rsidR="00F9660E" w:rsidRPr="007D2BE6">
        <w:rPr>
          <w:rFonts w:asciiTheme="minorHAnsi" w:hAnsiTheme="minorHAnsi" w:cstheme="minorHAnsi"/>
          <w:szCs w:val="20"/>
        </w:rPr>
        <w:t xml:space="preserve"> employer’s </w:t>
      </w:r>
      <w:r w:rsidRPr="007D2BE6">
        <w:rPr>
          <w:rFonts w:asciiTheme="minorHAnsi" w:hAnsiTheme="minorHAnsi" w:cstheme="minorHAnsi"/>
          <w:szCs w:val="20"/>
        </w:rPr>
        <w:t xml:space="preserve">contained in the Health and Safety at Work etc. Act 1974 </w:t>
      </w:r>
      <w:r w:rsidR="00F9660E" w:rsidRPr="007D2BE6">
        <w:rPr>
          <w:rFonts w:asciiTheme="minorHAnsi" w:hAnsiTheme="minorHAnsi" w:cstheme="minorHAnsi"/>
          <w:szCs w:val="20"/>
        </w:rPr>
        <w:t xml:space="preserve">to ensure </w:t>
      </w:r>
      <w:r w:rsidRPr="007D2BE6">
        <w:rPr>
          <w:rFonts w:asciiTheme="minorHAnsi" w:hAnsiTheme="minorHAnsi" w:cstheme="minorHAnsi"/>
          <w:szCs w:val="20"/>
        </w:rPr>
        <w:t>the health, safety and welfare of their employees at work, so far as is reasonably practicable, applies equally to employees</w:t>
      </w:r>
      <w:r w:rsidR="0058671C" w:rsidRPr="007D2BE6">
        <w:rPr>
          <w:rFonts w:asciiTheme="minorHAnsi" w:hAnsiTheme="minorHAnsi" w:cstheme="minorHAnsi"/>
          <w:szCs w:val="20"/>
        </w:rPr>
        <w:t xml:space="preserve"> working</w:t>
      </w:r>
      <w:r w:rsidRPr="007D2BE6">
        <w:rPr>
          <w:rFonts w:asciiTheme="minorHAnsi" w:hAnsiTheme="minorHAnsi" w:cstheme="minorHAnsi"/>
          <w:szCs w:val="20"/>
        </w:rPr>
        <w:t xml:space="preserve"> from home. </w:t>
      </w:r>
    </w:p>
    <w:p w14:paraId="24F072EF" w14:textId="77777777" w:rsidR="007D2BE6" w:rsidRPr="007D2BE6" w:rsidRDefault="007D2BE6" w:rsidP="00976C37">
      <w:pPr>
        <w:jc w:val="both"/>
        <w:rPr>
          <w:rFonts w:asciiTheme="minorHAnsi" w:hAnsiTheme="minorHAnsi" w:cstheme="minorHAnsi"/>
          <w:szCs w:val="20"/>
        </w:rPr>
      </w:pPr>
    </w:p>
    <w:p w14:paraId="2D4A5A67" w14:textId="377612CA" w:rsidR="006B6F34" w:rsidRPr="007D2BE6" w:rsidRDefault="007306B0" w:rsidP="00976C37">
      <w:pPr>
        <w:jc w:val="both"/>
        <w:rPr>
          <w:rFonts w:asciiTheme="minorHAnsi" w:hAnsiTheme="minorHAnsi" w:cstheme="minorHAnsi"/>
          <w:szCs w:val="20"/>
        </w:rPr>
      </w:pPr>
      <w:r w:rsidRPr="007D2BE6">
        <w:rPr>
          <w:rFonts w:asciiTheme="minorHAnsi" w:hAnsiTheme="minorHAnsi" w:cstheme="minorHAnsi"/>
          <w:szCs w:val="20"/>
        </w:rPr>
        <w:t xml:space="preserve">There are of course many challenges to ensuring the wellbeing of employees in their home, as direct supervision and monitoring is extremely difficult. The fact that many employees who are currently working from home will not have </w:t>
      </w:r>
      <w:r w:rsidR="0058671C" w:rsidRPr="007D2BE6">
        <w:rPr>
          <w:rFonts w:asciiTheme="minorHAnsi" w:hAnsiTheme="minorHAnsi" w:cstheme="minorHAnsi"/>
          <w:szCs w:val="20"/>
        </w:rPr>
        <w:t>previously done so and</w:t>
      </w:r>
      <w:r w:rsidRPr="007D2BE6">
        <w:rPr>
          <w:rFonts w:asciiTheme="minorHAnsi" w:hAnsiTheme="minorHAnsi" w:cstheme="minorHAnsi"/>
          <w:szCs w:val="20"/>
        </w:rPr>
        <w:t xml:space="preserve"> won’t continue to do so following the current crisis, ad</w:t>
      </w:r>
      <w:r w:rsidR="00657D6C" w:rsidRPr="007D2BE6">
        <w:rPr>
          <w:rFonts w:asciiTheme="minorHAnsi" w:hAnsiTheme="minorHAnsi" w:cstheme="minorHAnsi"/>
          <w:szCs w:val="20"/>
        </w:rPr>
        <w:t>ds further challenges as they are unlikely to have appropriate workstations in their home</w:t>
      </w:r>
      <w:r w:rsidR="00D9274F" w:rsidRPr="007D2BE6">
        <w:rPr>
          <w:rFonts w:asciiTheme="minorHAnsi" w:hAnsiTheme="minorHAnsi" w:cstheme="minorHAnsi"/>
          <w:szCs w:val="20"/>
        </w:rPr>
        <w:t xml:space="preserve"> (this is discussed further below). </w:t>
      </w:r>
    </w:p>
    <w:p w14:paraId="47BBB2AA" w14:textId="77777777" w:rsidR="007D2BE6" w:rsidRPr="007D2BE6" w:rsidRDefault="007D2BE6" w:rsidP="00976C37">
      <w:pPr>
        <w:jc w:val="both"/>
        <w:rPr>
          <w:rFonts w:asciiTheme="minorHAnsi" w:hAnsiTheme="minorHAnsi" w:cstheme="minorHAnsi"/>
          <w:szCs w:val="20"/>
        </w:rPr>
      </w:pPr>
    </w:p>
    <w:p w14:paraId="28F7910B" w14:textId="06C1F116" w:rsidR="00D9274F" w:rsidRPr="007D2BE6" w:rsidRDefault="00D9274F" w:rsidP="00976C37">
      <w:pPr>
        <w:jc w:val="both"/>
        <w:rPr>
          <w:rFonts w:asciiTheme="minorHAnsi" w:hAnsiTheme="minorHAnsi" w:cstheme="minorHAnsi"/>
          <w:szCs w:val="20"/>
        </w:rPr>
      </w:pPr>
      <w:r w:rsidRPr="007D2BE6">
        <w:rPr>
          <w:rFonts w:asciiTheme="minorHAnsi" w:hAnsiTheme="minorHAnsi" w:cstheme="minorHAnsi"/>
          <w:szCs w:val="20"/>
        </w:rPr>
        <w:t xml:space="preserve">Employees are also responsible for ensuring their own health, safety and welfare, and their responsibilities when working from home are arguably more extensive than in a traditional office environment </w:t>
      </w:r>
      <w:r w:rsidR="000D53CD" w:rsidRPr="007D2BE6">
        <w:rPr>
          <w:rFonts w:asciiTheme="minorHAnsi" w:hAnsiTheme="minorHAnsi" w:cstheme="minorHAnsi"/>
          <w:szCs w:val="20"/>
        </w:rPr>
        <w:t>as they are likely to be at least partially responsible for the electrical installation, gas safety, fire safety and many other aspects of health and safety</w:t>
      </w:r>
      <w:r w:rsidR="00586BCF" w:rsidRPr="007D2BE6">
        <w:rPr>
          <w:rFonts w:asciiTheme="minorHAnsi" w:hAnsiTheme="minorHAnsi" w:cstheme="minorHAnsi"/>
          <w:szCs w:val="20"/>
        </w:rPr>
        <w:t xml:space="preserve"> </w:t>
      </w:r>
      <w:r w:rsidR="000D53CD" w:rsidRPr="007D2BE6">
        <w:rPr>
          <w:rFonts w:asciiTheme="minorHAnsi" w:hAnsiTheme="minorHAnsi" w:cstheme="minorHAnsi"/>
          <w:szCs w:val="20"/>
        </w:rPr>
        <w:t xml:space="preserve">that are managed by employers in traditional workplaces. </w:t>
      </w:r>
    </w:p>
    <w:p w14:paraId="594A9DDA" w14:textId="77777777" w:rsidR="007D2BE6" w:rsidRPr="007D2BE6" w:rsidRDefault="007D2BE6" w:rsidP="00976C37">
      <w:pPr>
        <w:jc w:val="both"/>
        <w:rPr>
          <w:rFonts w:asciiTheme="minorHAnsi" w:hAnsiTheme="minorHAnsi" w:cstheme="minorHAnsi"/>
          <w:szCs w:val="20"/>
        </w:rPr>
      </w:pPr>
    </w:p>
    <w:p w14:paraId="46109D5A" w14:textId="1E968B44" w:rsidR="000D53CD" w:rsidRPr="007D2BE6" w:rsidRDefault="000D53CD" w:rsidP="00976C37">
      <w:pPr>
        <w:jc w:val="both"/>
        <w:rPr>
          <w:rFonts w:asciiTheme="minorHAnsi" w:hAnsiTheme="minorHAnsi" w:cstheme="minorHAnsi"/>
          <w:szCs w:val="20"/>
        </w:rPr>
      </w:pPr>
      <w:r w:rsidRPr="007D2BE6">
        <w:rPr>
          <w:rFonts w:asciiTheme="minorHAnsi" w:hAnsiTheme="minorHAnsi" w:cstheme="minorHAnsi"/>
          <w:szCs w:val="20"/>
        </w:rPr>
        <w:t>Perhaps the simplest way for both parties to ensure that they are meeting their responsibilities is for employers to provide appropriate guidance to employees on how to work safely from home,</w:t>
      </w:r>
      <w:r w:rsidR="00513855" w:rsidRPr="007D2BE6">
        <w:rPr>
          <w:rFonts w:asciiTheme="minorHAnsi" w:hAnsiTheme="minorHAnsi" w:cstheme="minorHAnsi"/>
          <w:szCs w:val="20"/>
        </w:rPr>
        <w:t xml:space="preserve"> along with any necessary equipment,</w:t>
      </w:r>
      <w:r w:rsidRPr="007D2BE6">
        <w:rPr>
          <w:rFonts w:asciiTheme="minorHAnsi" w:hAnsiTheme="minorHAnsi" w:cstheme="minorHAnsi"/>
          <w:szCs w:val="20"/>
        </w:rPr>
        <w:t xml:space="preserve"> and for employees to provide confirmation to their employers that they are taking suitable measures to protect themselves. We have made the following documents available to assist you in this process:</w:t>
      </w:r>
    </w:p>
    <w:p w14:paraId="106965BB" w14:textId="3596AD06" w:rsidR="007D2BE6" w:rsidRDefault="007D2BE6" w:rsidP="00976C37">
      <w:pPr>
        <w:jc w:val="both"/>
        <w:rPr>
          <w:rFonts w:asciiTheme="minorHAnsi" w:hAnsiTheme="minorHAnsi" w:cstheme="minorHAnsi"/>
          <w:szCs w:val="20"/>
        </w:rPr>
      </w:pPr>
    </w:p>
    <w:p w14:paraId="0925A4C8" w14:textId="367068FD" w:rsidR="00513855" w:rsidRPr="007D2BE6" w:rsidRDefault="000D53CD" w:rsidP="00976C37">
      <w:pPr>
        <w:jc w:val="both"/>
        <w:rPr>
          <w:rFonts w:asciiTheme="minorHAnsi" w:hAnsiTheme="minorHAnsi" w:cstheme="minorHAnsi"/>
          <w:szCs w:val="20"/>
        </w:rPr>
      </w:pPr>
      <w:r w:rsidRPr="007D2BE6">
        <w:rPr>
          <w:rFonts w:asciiTheme="minorHAnsi" w:hAnsiTheme="minorHAnsi" w:cstheme="minorHAnsi"/>
          <w:b/>
          <w:bCs/>
          <w:color w:val="F69F19" w:themeColor="background1"/>
          <w:szCs w:val="20"/>
        </w:rPr>
        <w:t xml:space="preserve">Working from Home: A Brief Guide for Employees </w:t>
      </w:r>
      <w:r w:rsidRPr="007D2BE6">
        <w:rPr>
          <w:rFonts w:asciiTheme="minorHAnsi" w:hAnsiTheme="minorHAnsi" w:cstheme="minorHAnsi"/>
          <w:color w:val="F69F19" w:themeColor="background1"/>
          <w:szCs w:val="20"/>
        </w:rPr>
        <w:t xml:space="preserve">– </w:t>
      </w:r>
      <w:r w:rsidRPr="007D2BE6">
        <w:rPr>
          <w:rFonts w:asciiTheme="minorHAnsi" w:hAnsiTheme="minorHAnsi" w:cstheme="minorHAnsi"/>
          <w:szCs w:val="20"/>
        </w:rPr>
        <w:t>This document has been developed to provide guidance to employees who may find themselves working from home for the first time, or on a more regular basis. The document sets out how employees can hel</w:t>
      </w:r>
      <w:r w:rsidR="00513855" w:rsidRPr="007D2BE6">
        <w:rPr>
          <w:rFonts w:asciiTheme="minorHAnsi" w:hAnsiTheme="minorHAnsi" w:cstheme="minorHAnsi"/>
          <w:szCs w:val="20"/>
        </w:rPr>
        <w:t xml:space="preserve">p to protect their physical and mental health when working from home. You may issue this guide directly to employees or use it to inform your own internal guidance. </w:t>
      </w:r>
    </w:p>
    <w:p w14:paraId="6DE70F3F" w14:textId="77777777" w:rsidR="007D2BE6" w:rsidRPr="007D2BE6" w:rsidRDefault="007D2BE6" w:rsidP="00976C37">
      <w:pPr>
        <w:jc w:val="both"/>
        <w:rPr>
          <w:rFonts w:asciiTheme="minorHAnsi" w:hAnsiTheme="minorHAnsi" w:cstheme="minorHAnsi"/>
          <w:szCs w:val="20"/>
        </w:rPr>
      </w:pPr>
    </w:p>
    <w:p w14:paraId="133A9B9B" w14:textId="34360D35" w:rsidR="00E456C7" w:rsidRDefault="00513855" w:rsidP="00976C37">
      <w:pPr>
        <w:jc w:val="both"/>
        <w:rPr>
          <w:rFonts w:asciiTheme="minorHAnsi" w:hAnsiTheme="minorHAnsi" w:cstheme="minorHAnsi"/>
          <w:szCs w:val="20"/>
        </w:rPr>
      </w:pPr>
      <w:r w:rsidRPr="007D2BE6">
        <w:rPr>
          <w:rFonts w:asciiTheme="minorHAnsi" w:hAnsiTheme="minorHAnsi" w:cstheme="minorHAnsi"/>
          <w:b/>
          <w:bCs/>
          <w:color w:val="F69F19" w:themeColor="background1"/>
          <w:szCs w:val="20"/>
        </w:rPr>
        <w:t xml:space="preserve">Home Worker Self-Assessment Checklist </w:t>
      </w:r>
      <w:r w:rsidR="007D2BE6">
        <w:rPr>
          <w:rFonts w:asciiTheme="minorHAnsi" w:hAnsiTheme="minorHAnsi" w:cstheme="minorHAnsi"/>
          <w:color w:val="F69F19" w:themeColor="background1"/>
          <w:szCs w:val="20"/>
        </w:rPr>
        <w:t xml:space="preserve">– </w:t>
      </w:r>
      <w:r w:rsidRPr="007D2BE6">
        <w:rPr>
          <w:rFonts w:asciiTheme="minorHAnsi" w:hAnsiTheme="minorHAnsi" w:cstheme="minorHAnsi"/>
          <w:szCs w:val="20"/>
        </w:rPr>
        <w:t>This checklist can be issued to employees for them to complete and return to their manager, or other nominated person. The checklist can then be reviewed to ascertain whether employees are taking the necessary steps to ensure their own health, safety and welfare, and to identify where additional information</w:t>
      </w:r>
      <w:r w:rsidR="00E456C7" w:rsidRPr="007D2BE6">
        <w:rPr>
          <w:rFonts w:asciiTheme="minorHAnsi" w:hAnsiTheme="minorHAnsi" w:cstheme="minorHAnsi"/>
          <w:szCs w:val="20"/>
        </w:rPr>
        <w:t>, guidance</w:t>
      </w:r>
      <w:r w:rsidRPr="007D2BE6">
        <w:rPr>
          <w:rFonts w:asciiTheme="minorHAnsi" w:hAnsiTheme="minorHAnsi" w:cstheme="minorHAnsi"/>
          <w:szCs w:val="20"/>
        </w:rPr>
        <w:t xml:space="preserve"> and/ or equipment may be required. </w:t>
      </w:r>
    </w:p>
    <w:p w14:paraId="41AC31DB" w14:textId="77777777" w:rsidR="008F5CD5" w:rsidRDefault="008F5CD5" w:rsidP="00976C37">
      <w:pPr>
        <w:jc w:val="both"/>
        <w:rPr>
          <w:rFonts w:asciiTheme="minorHAnsi" w:hAnsiTheme="minorHAnsi" w:cstheme="minorHAnsi"/>
          <w:szCs w:val="20"/>
        </w:rPr>
      </w:pPr>
    </w:p>
    <w:p w14:paraId="064401AA" w14:textId="5B7564E3" w:rsidR="007D2BE6" w:rsidRPr="005F3823" w:rsidRDefault="007048EF" w:rsidP="00976C37">
      <w:pPr>
        <w:jc w:val="both"/>
        <w:rPr>
          <w:rFonts w:asciiTheme="minorHAnsi" w:hAnsiTheme="minorHAnsi" w:cstheme="minorHAnsi"/>
          <w:szCs w:val="20"/>
        </w:rPr>
      </w:pPr>
      <w:r>
        <w:rPr>
          <w:rFonts w:asciiTheme="minorHAnsi" w:hAnsiTheme="minorHAnsi" w:cstheme="minorHAnsi"/>
          <w:szCs w:val="20"/>
        </w:rPr>
        <w:t xml:space="preserve">We also have </w:t>
      </w:r>
      <w:r w:rsidR="00832C1C" w:rsidRPr="00832C1C">
        <w:rPr>
          <w:rFonts w:asciiTheme="minorHAnsi" w:hAnsiTheme="minorHAnsi" w:cstheme="minorHAnsi"/>
          <w:szCs w:val="20"/>
        </w:rPr>
        <w:t>an online Temporary Home Worker</w:t>
      </w:r>
      <w:r w:rsidR="005F3823">
        <w:rPr>
          <w:rFonts w:asciiTheme="minorHAnsi" w:hAnsiTheme="minorHAnsi" w:cstheme="minorHAnsi"/>
          <w:szCs w:val="20"/>
        </w:rPr>
        <w:t xml:space="preserve"> Guidance and </w:t>
      </w:r>
      <w:r w:rsidR="00832C1C" w:rsidRPr="00832C1C">
        <w:rPr>
          <w:rFonts w:asciiTheme="minorHAnsi" w:hAnsiTheme="minorHAnsi" w:cstheme="minorHAnsi"/>
          <w:szCs w:val="20"/>
        </w:rPr>
        <w:t>Self-Assessment, which also includes a guidance section</w:t>
      </w:r>
      <w:r w:rsidR="00B92343">
        <w:rPr>
          <w:rFonts w:asciiTheme="minorHAnsi" w:hAnsiTheme="minorHAnsi" w:cstheme="minorHAnsi"/>
          <w:szCs w:val="20"/>
        </w:rPr>
        <w:t>, available at £5 per employee, where w</w:t>
      </w:r>
      <w:r w:rsidR="00832C1C" w:rsidRPr="00832C1C">
        <w:rPr>
          <w:rFonts w:asciiTheme="minorHAnsi" w:hAnsiTheme="minorHAnsi" w:cstheme="minorHAnsi"/>
          <w:szCs w:val="20"/>
        </w:rPr>
        <w:t>e will issue the guidance and assessment to your employees and compile the</w:t>
      </w:r>
      <w:r w:rsidR="005F3823">
        <w:rPr>
          <w:rFonts w:asciiTheme="minorHAnsi" w:hAnsiTheme="minorHAnsi" w:cstheme="minorHAnsi"/>
          <w:szCs w:val="20"/>
        </w:rPr>
        <w:t>ir</w:t>
      </w:r>
      <w:r w:rsidR="00832C1C" w:rsidRPr="00832C1C">
        <w:rPr>
          <w:rFonts w:asciiTheme="minorHAnsi" w:hAnsiTheme="minorHAnsi" w:cstheme="minorHAnsi"/>
          <w:szCs w:val="20"/>
        </w:rPr>
        <w:t xml:space="preserve"> responses via an Excel spreadsheet to assist you in quickly identifying any issues that may need to be addressed.</w:t>
      </w:r>
      <w:r w:rsidR="008F5CD5">
        <w:rPr>
          <w:rFonts w:asciiTheme="minorHAnsi" w:hAnsiTheme="minorHAnsi" w:cstheme="minorHAnsi"/>
          <w:szCs w:val="20"/>
        </w:rPr>
        <w:t xml:space="preserve"> Please contact </w:t>
      </w:r>
      <w:hyperlink r:id="rId11" w:history="1">
        <w:r w:rsidR="008F5CD5" w:rsidRPr="0084472D">
          <w:rPr>
            <w:rStyle w:val="Hyperlink"/>
            <w:rFonts w:asciiTheme="minorHAnsi" w:hAnsiTheme="minorHAnsi" w:cstheme="minorHAnsi"/>
            <w:szCs w:val="20"/>
          </w:rPr>
          <w:t>ONE@hettleandrews.co.uk</w:t>
        </w:r>
      </w:hyperlink>
      <w:r w:rsidR="008F5CD5">
        <w:rPr>
          <w:rFonts w:asciiTheme="minorHAnsi" w:hAnsiTheme="minorHAnsi" w:cstheme="minorHAnsi"/>
          <w:szCs w:val="20"/>
        </w:rPr>
        <w:t xml:space="preserve"> for more information.</w:t>
      </w:r>
    </w:p>
    <w:p w14:paraId="04397526" w14:textId="77777777" w:rsidR="007D2BE6" w:rsidRDefault="007D2BE6" w:rsidP="00976C37">
      <w:pPr>
        <w:jc w:val="both"/>
        <w:rPr>
          <w:rFonts w:asciiTheme="minorHAnsi" w:hAnsiTheme="minorHAnsi" w:cstheme="minorHAnsi"/>
          <w:b/>
          <w:szCs w:val="20"/>
        </w:rPr>
      </w:pPr>
    </w:p>
    <w:p w14:paraId="052B4602" w14:textId="54C4C264" w:rsidR="006B6F34" w:rsidRPr="007D2BE6" w:rsidRDefault="0073712B" w:rsidP="00976C37">
      <w:pPr>
        <w:jc w:val="both"/>
        <w:rPr>
          <w:rFonts w:asciiTheme="minorHAnsi" w:hAnsiTheme="minorHAnsi" w:cstheme="minorHAnsi"/>
          <w:b/>
          <w:color w:val="F69F19" w:themeColor="background1"/>
          <w:szCs w:val="20"/>
        </w:rPr>
      </w:pPr>
      <w:r w:rsidRPr="007D2BE6">
        <w:rPr>
          <w:rFonts w:asciiTheme="minorHAnsi" w:hAnsiTheme="minorHAnsi" w:cstheme="minorHAnsi"/>
          <w:b/>
          <w:color w:val="F69F19" w:themeColor="background1"/>
          <w:szCs w:val="20"/>
        </w:rPr>
        <w:t xml:space="preserve">The Health and Safety (Display Screen Equipment) Regulations </w:t>
      </w:r>
    </w:p>
    <w:p w14:paraId="1B6263CD" w14:textId="77777777" w:rsidR="007D2BE6" w:rsidRPr="007D2BE6" w:rsidRDefault="007D2BE6" w:rsidP="00976C37">
      <w:pPr>
        <w:jc w:val="both"/>
        <w:rPr>
          <w:rFonts w:asciiTheme="minorHAnsi" w:hAnsiTheme="minorHAnsi" w:cstheme="minorHAnsi"/>
          <w:b/>
          <w:sz w:val="10"/>
          <w:szCs w:val="10"/>
        </w:rPr>
      </w:pPr>
    </w:p>
    <w:p w14:paraId="508D31CD" w14:textId="5440DD1F" w:rsidR="00CD5317" w:rsidRDefault="00CD5317" w:rsidP="00976C37">
      <w:pPr>
        <w:jc w:val="both"/>
        <w:rPr>
          <w:rFonts w:asciiTheme="minorHAnsi" w:hAnsiTheme="minorHAnsi" w:cstheme="minorHAnsi"/>
          <w:bCs/>
          <w:szCs w:val="20"/>
        </w:rPr>
      </w:pPr>
      <w:r w:rsidRPr="007D2BE6">
        <w:rPr>
          <w:rFonts w:asciiTheme="minorHAnsi" w:hAnsiTheme="minorHAnsi" w:cstheme="minorHAnsi"/>
          <w:noProof/>
        </w:rPr>
        <w:drawing>
          <wp:anchor distT="0" distB="0" distL="114300" distR="114300" simplePos="0" relativeHeight="251667456" behindDoc="0" locked="0" layoutInCell="1" allowOverlap="1" wp14:anchorId="1F39A282" wp14:editId="35261D98">
            <wp:simplePos x="0" y="0"/>
            <wp:positionH relativeFrom="margin">
              <wp:align>left</wp:align>
            </wp:positionH>
            <wp:positionV relativeFrom="paragraph">
              <wp:posOffset>6985</wp:posOffset>
            </wp:positionV>
            <wp:extent cx="2572385" cy="1714500"/>
            <wp:effectExtent l="0" t="0" r="0" b="0"/>
            <wp:wrapSquare wrapText="bothSides"/>
            <wp:docPr id="14" name="Picture 14" descr="Image result for dse home wo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dse home work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4848" cy="1716111"/>
                    </a:xfrm>
                    <a:prstGeom prst="rect">
                      <a:avLst/>
                    </a:prstGeom>
                    <a:noFill/>
                    <a:ln>
                      <a:noFill/>
                    </a:ln>
                  </pic:spPr>
                </pic:pic>
              </a:graphicData>
            </a:graphic>
            <wp14:sizeRelH relativeFrom="page">
              <wp14:pctWidth>0</wp14:pctWidth>
            </wp14:sizeRelH>
            <wp14:sizeRelV relativeFrom="page">
              <wp14:pctHeight>0</wp14:pctHeight>
            </wp14:sizeRelV>
          </wp:anchor>
        </w:drawing>
      </w:r>
      <w:r w:rsidR="00F77FC2" w:rsidRPr="007D2BE6">
        <w:rPr>
          <w:rFonts w:asciiTheme="minorHAnsi" w:hAnsiTheme="minorHAnsi" w:cstheme="minorHAnsi"/>
          <w:bCs/>
          <w:szCs w:val="20"/>
        </w:rPr>
        <w:t xml:space="preserve">As is the case with most health and safety legislation, the Regulations concerning the use of Display Screen Equipment (DSE) apply equally to employees working from home. However, it is unrealistic to expect employers to provide employees who are </w:t>
      </w:r>
      <w:r w:rsidR="00566A3D" w:rsidRPr="007D2BE6">
        <w:rPr>
          <w:rFonts w:asciiTheme="minorHAnsi" w:hAnsiTheme="minorHAnsi" w:cstheme="minorHAnsi"/>
          <w:bCs/>
          <w:szCs w:val="20"/>
        </w:rPr>
        <w:t xml:space="preserve">only </w:t>
      </w:r>
      <w:r w:rsidR="00F77FC2" w:rsidRPr="007D2BE6">
        <w:rPr>
          <w:rFonts w:asciiTheme="minorHAnsi" w:hAnsiTheme="minorHAnsi" w:cstheme="minorHAnsi"/>
          <w:bCs/>
          <w:szCs w:val="20"/>
        </w:rPr>
        <w:t>temporarily working from home with the same equipment that they will have access to in their usual workplace (e.g. a desk</w:t>
      </w:r>
      <w:r w:rsidR="00566A3D" w:rsidRPr="007D2BE6">
        <w:rPr>
          <w:rFonts w:asciiTheme="minorHAnsi" w:hAnsiTheme="minorHAnsi" w:cstheme="minorHAnsi"/>
          <w:bCs/>
          <w:szCs w:val="20"/>
        </w:rPr>
        <w:t xml:space="preserve">, office chair, monitor, etc.). It is therefore unlikely that employees will be able to set up a workstation at home that will meet the full requirements of the DSE Regulations. </w:t>
      </w:r>
    </w:p>
    <w:p w14:paraId="576FC434" w14:textId="77777777" w:rsidR="007D2BE6" w:rsidRPr="007D2BE6" w:rsidRDefault="007D2BE6" w:rsidP="00976C37">
      <w:pPr>
        <w:jc w:val="both"/>
        <w:rPr>
          <w:rFonts w:asciiTheme="minorHAnsi" w:hAnsiTheme="minorHAnsi" w:cstheme="minorHAnsi"/>
          <w:bCs/>
          <w:szCs w:val="20"/>
        </w:rPr>
      </w:pPr>
    </w:p>
    <w:p w14:paraId="3EE042FE" w14:textId="77777777" w:rsidR="00FF0B85" w:rsidRPr="00FF0B85" w:rsidRDefault="00FF0B85" w:rsidP="00FF0B85">
      <w:pPr>
        <w:jc w:val="both"/>
        <w:rPr>
          <w:rFonts w:asciiTheme="minorHAnsi" w:hAnsiTheme="minorHAnsi" w:cstheme="minorHAnsi"/>
          <w:bCs/>
          <w:szCs w:val="20"/>
        </w:rPr>
      </w:pPr>
      <w:r w:rsidRPr="00FF0B85">
        <w:rPr>
          <w:rFonts w:asciiTheme="minorHAnsi" w:hAnsiTheme="minorHAnsi" w:cstheme="minorHAnsi"/>
          <w:bCs/>
          <w:szCs w:val="20"/>
        </w:rPr>
        <w:t xml:space="preserve">The HSE (Health and Safety Executive) have acknowledged this fact and have stated that DSE assessments are not required for temporary home workers in the current situation. However, it is still important to encourage your employees to follow good practice when working with DSE to protect their physical health. As such, our recommendation is to provide your employees with guidance on the safe use of DSE when working at home, taking into account their limited equipment, and to provide inexpensive equipment (e.g. wireless keyboard and mouse, laptop riser, etc.) to assist them in setting up an appropriate temporary workstation. Guidance on the use of DSE is given in our brief guide for employees. </w:t>
      </w:r>
    </w:p>
    <w:p w14:paraId="34426C90" w14:textId="77777777" w:rsidR="00FF0B85" w:rsidRDefault="00FF0B85" w:rsidP="00FF0B85">
      <w:pPr>
        <w:jc w:val="both"/>
        <w:rPr>
          <w:rFonts w:asciiTheme="minorHAnsi" w:hAnsiTheme="minorHAnsi" w:cstheme="minorHAnsi"/>
          <w:bCs/>
          <w:szCs w:val="20"/>
        </w:rPr>
      </w:pPr>
    </w:p>
    <w:p w14:paraId="077A10AD" w14:textId="3EB80271" w:rsidR="00FF0B85" w:rsidRDefault="00FF0B85" w:rsidP="00FF0B85">
      <w:pPr>
        <w:jc w:val="both"/>
        <w:rPr>
          <w:rFonts w:asciiTheme="minorHAnsi" w:hAnsiTheme="minorHAnsi" w:cstheme="minorHAnsi"/>
          <w:bCs/>
          <w:szCs w:val="20"/>
        </w:rPr>
      </w:pPr>
      <w:r w:rsidRPr="00FF0B85">
        <w:rPr>
          <w:rFonts w:asciiTheme="minorHAnsi" w:hAnsiTheme="minorHAnsi" w:cstheme="minorHAnsi"/>
          <w:bCs/>
          <w:szCs w:val="20"/>
        </w:rPr>
        <w:t xml:space="preserve">Whilst it is not necessary to complete a full DSE assessment, we have included some key points on the set-up of workstations in our </w:t>
      </w:r>
      <w:r w:rsidRPr="00FF0B85">
        <w:rPr>
          <w:rFonts w:asciiTheme="minorHAnsi" w:hAnsiTheme="minorHAnsi" w:cstheme="minorHAnsi"/>
          <w:bCs/>
          <w:i/>
          <w:iCs/>
          <w:color w:val="F69F19" w:themeColor="background1"/>
          <w:szCs w:val="20"/>
        </w:rPr>
        <w:t>Home Worker Self-Assessment.</w:t>
      </w:r>
    </w:p>
    <w:p w14:paraId="20EC8D4D" w14:textId="77777777" w:rsidR="00FF0B85" w:rsidRDefault="00FF0B85" w:rsidP="00976C37">
      <w:pPr>
        <w:jc w:val="both"/>
        <w:rPr>
          <w:rFonts w:asciiTheme="minorHAnsi" w:hAnsiTheme="minorHAnsi" w:cstheme="minorHAnsi"/>
          <w:bCs/>
          <w:szCs w:val="20"/>
        </w:rPr>
      </w:pPr>
    </w:p>
    <w:p w14:paraId="1DE7FA98" w14:textId="41523501" w:rsidR="0017424C" w:rsidRPr="007D2BE6" w:rsidRDefault="0017424C" w:rsidP="00976C37">
      <w:pPr>
        <w:jc w:val="both"/>
        <w:rPr>
          <w:rFonts w:asciiTheme="minorHAnsi" w:hAnsiTheme="minorHAnsi" w:cstheme="minorHAnsi"/>
          <w:b/>
          <w:color w:val="F69F19" w:themeColor="background1"/>
          <w:szCs w:val="20"/>
        </w:rPr>
      </w:pPr>
      <w:r w:rsidRPr="007D2BE6">
        <w:rPr>
          <w:rFonts w:asciiTheme="minorHAnsi" w:hAnsiTheme="minorHAnsi" w:cstheme="minorHAnsi"/>
          <w:b/>
          <w:color w:val="F69F19" w:themeColor="background1"/>
          <w:szCs w:val="20"/>
        </w:rPr>
        <w:t xml:space="preserve">Employee’s Physical Health </w:t>
      </w:r>
    </w:p>
    <w:p w14:paraId="7CB923B8" w14:textId="77777777" w:rsidR="007D2BE6" w:rsidRPr="007D2BE6" w:rsidRDefault="007D2BE6" w:rsidP="00976C37">
      <w:pPr>
        <w:jc w:val="both"/>
        <w:rPr>
          <w:rFonts w:asciiTheme="minorHAnsi" w:hAnsiTheme="minorHAnsi" w:cstheme="minorHAnsi"/>
          <w:bCs/>
          <w:sz w:val="10"/>
          <w:szCs w:val="10"/>
        </w:rPr>
      </w:pPr>
    </w:p>
    <w:p w14:paraId="12CC982B" w14:textId="3AFB3989" w:rsidR="00100B25" w:rsidRPr="007D2BE6" w:rsidRDefault="00100B25" w:rsidP="00976C37">
      <w:pPr>
        <w:jc w:val="both"/>
        <w:rPr>
          <w:rFonts w:asciiTheme="minorHAnsi" w:hAnsiTheme="minorHAnsi" w:cstheme="minorHAnsi"/>
          <w:bCs/>
          <w:szCs w:val="20"/>
        </w:rPr>
      </w:pPr>
      <w:r w:rsidRPr="007D2BE6">
        <w:rPr>
          <w:rFonts w:asciiTheme="minorHAnsi" w:hAnsiTheme="minorHAnsi" w:cstheme="minorHAnsi"/>
          <w:noProof/>
        </w:rPr>
        <w:drawing>
          <wp:anchor distT="0" distB="0" distL="114300" distR="114300" simplePos="0" relativeHeight="251668480" behindDoc="0" locked="0" layoutInCell="1" allowOverlap="1" wp14:anchorId="451A6CD6" wp14:editId="2DF607A5">
            <wp:simplePos x="0" y="0"/>
            <wp:positionH relativeFrom="margin">
              <wp:align>right</wp:align>
            </wp:positionH>
            <wp:positionV relativeFrom="paragraph">
              <wp:posOffset>66040</wp:posOffset>
            </wp:positionV>
            <wp:extent cx="2770505" cy="1657350"/>
            <wp:effectExtent l="0" t="0" r="0" b="0"/>
            <wp:wrapSquare wrapText="bothSides"/>
            <wp:docPr id="15" name="Picture 15" descr="Image result for exercise out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exercise outdoor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7050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7424C" w:rsidRPr="007D2BE6">
        <w:rPr>
          <w:rFonts w:asciiTheme="minorHAnsi" w:hAnsiTheme="minorHAnsi" w:cstheme="minorHAnsi"/>
          <w:bCs/>
          <w:szCs w:val="20"/>
        </w:rPr>
        <w:t xml:space="preserve">Working from home has the potential to negatively impact on the physical health of your employees. Without having to commute into work and move around the workplace they </w:t>
      </w:r>
      <w:r w:rsidR="002D33E6" w:rsidRPr="007D2BE6">
        <w:rPr>
          <w:rFonts w:asciiTheme="minorHAnsi" w:hAnsiTheme="minorHAnsi" w:cstheme="minorHAnsi"/>
          <w:bCs/>
          <w:szCs w:val="20"/>
        </w:rPr>
        <w:t>may</w:t>
      </w:r>
      <w:r w:rsidR="0017424C" w:rsidRPr="007D2BE6">
        <w:rPr>
          <w:rFonts w:asciiTheme="minorHAnsi" w:hAnsiTheme="minorHAnsi" w:cstheme="minorHAnsi"/>
          <w:bCs/>
          <w:szCs w:val="20"/>
        </w:rPr>
        <w:t xml:space="preserve"> be considerably less active. Prolonged periods of time </w:t>
      </w:r>
      <w:r w:rsidRPr="007D2BE6">
        <w:rPr>
          <w:rFonts w:asciiTheme="minorHAnsi" w:hAnsiTheme="minorHAnsi" w:cstheme="minorHAnsi"/>
          <w:bCs/>
          <w:szCs w:val="20"/>
        </w:rPr>
        <w:t xml:space="preserve">spent </w:t>
      </w:r>
      <w:r w:rsidR="0017424C" w:rsidRPr="007D2BE6">
        <w:rPr>
          <w:rFonts w:asciiTheme="minorHAnsi" w:hAnsiTheme="minorHAnsi" w:cstheme="minorHAnsi"/>
          <w:bCs/>
          <w:szCs w:val="20"/>
        </w:rPr>
        <w:t>at a potentially make-shift workstation will also put strain on their back, neck</w:t>
      </w:r>
      <w:r w:rsidRPr="007D2BE6">
        <w:rPr>
          <w:rFonts w:asciiTheme="minorHAnsi" w:hAnsiTheme="minorHAnsi" w:cstheme="minorHAnsi"/>
          <w:bCs/>
          <w:szCs w:val="20"/>
        </w:rPr>
        <w:t>,</w:t>
      </w:r>
      <w:r w:rsidR="0017424C" w:rsidRPr="007D2BE6">
        <w:rPr>
          <w:rFonts w:asciiTheme="minorHAnsi" w:hAnsiTheme="minorHAnsi" w:cstheme="minorHAnsi"/>
          <w:bCs/>
          <w:szCs w:val="20"/>
        </w:rPr>
        <w:t xml:space="preserve"> arms and wrists. Employees should therefore be encouraged to take regular breaks from their work to stand up, stretch and move around. </w:t>
      </w:r>
      <w:r w:rsidRPr="007D2BE6">
        <w:rPr>
          <w:rFonts w:asciiTheme="minorHAnsi" w:hAnsiTheme="minorHAnsi" w:cstheme="minorHAnsi"/>
          <w:bCs/>
          <w:szCs w:val="20"/>
        </w:rPr>
        <w:t>Regular e</w:t>
      </w:r>
      <w:r w:rsidR="0017424C" w:rsidRPr="007D2BE6">
        <w:rPr>
          <w:rFonts w:asciiTheme="minorHAnsi" w:hAnsiTheme="minorHAnsi" w:cstheme="minorHAnsi"/>
          <w:bCs/>
          <w:szCs w:val="20"/>
        </w:rPr>
        <w:t xml:space="preserve">xercise should also be </w:t>
      </w:r>
      <w:r w:rsidRPr="007D2BE6">
        <w:rPr>
          <w:rFonts w:asciiTheme="minorHAnsi" w:hAnsiTheme="minorHAnsi" w:cstheme="minorHAnsi"/>
          <w:bCs/>
          <w:szCs w:val="20"/>
        </w:rPr>
        <w:t xml:space="preserve">actively </w:t>
      </w:r>
      <w:r w:rsidR="0017424C" w:rsidRPr="007D2BE6">
        <w:rPr>
          <w:rFonts w:asciiTheme="minorHAnsi" w:hAnsiTheme="minorHAnsi" w:cstheme="minorHAnsi"/>
          <w:bCs/>
          <w:szCs w:val="20"/>
        </w:rPr>
        <w:t>encouraged, ideally outdoors (with</w:t>
      </w:r>
      <w:r w:rsidR="00C710AD">
        <w:rPr>
          <w:rFonts w:asciiTheme="minorHAnsi" w:hAnsiTheme="minorHAnsi" w:cstheme="minorHAnsi"/>
          <w:bCs/>
          <w:szCs w:val="20"/>
        </w:rPr>
        <w:t>in</w:t>
      </w:r>
      <w:r w:rsidR="0017424C" w:rsidRPr="007D2BE6">
        <w:rPr>
          <w:rFonts w:asciiTheme="minorHAnsi" w:hAnsiTheme="minorHAnsi" w:cstheme="minorHAnsi"/>
          <w:bCs/>
          <w:szCs w:val="20"/>
        </w:rPr>
        <w:t xml:space="preserve"> Government guidance). </w:t>
      </w:r>
      <w:r w:rsidRPr="007D2BE6">
        <w:rPr>
          <w:rFonts w:asciiTheme="minorHAnsi" w:hAnsiTheme="minorHAnsi" w:cstheme="minorHAnsi"/>
          <w:bCs/>
          <w:szCs w:val="20"/>
        </w:rPr>
        <w:t>There is of course no expectation on you to ensure that your employees keep active, but it is recommended that you encourage them to do so and make it clear th</w:t>
      </w:r>
      <w:r w:rsidR="00586BCF" w:rsidRPr="007D2BE6">
        <w:rPr>
          <w:rFonts w:asciiTheme="minorHAnsi" w:hAnsiTheme="minorHAnsi" w:cstheme="minorHAnsi"/>
          <w:bCs/>
          <w:szCs w:val="20"/>
        </w:rPr>
        <w:t>at</w:t>
      </w:r>
      <w:r w:rsidRPr="007D2BE6">
        <w:rPr>
          <w:rFonts w:asciiTheme="minorHAnsi" w:hAnsiTheme="minorHAnsi" w:cstheme="minorHAnsi"/>
          <w:bCs/>
          <w:szCs w:val="20"/>
        </w:rPr>
        <w:t xml:space="preserve"> they can take regular breaks from their computer. </w:t>
      </w:r>
    </w:p>
    <w:p w14:paraId="3386E1EB" w14:textId="77777777" w:rsidR="007D2BE6" w:rsidRDefault="007D2BE6" w:rsidP="00976C37">
      <w:pPr>
        <w:jc w:val="both"/>
        <w:rPr>
          <w:rFonts w:asciiTheme="minorHAnsi" w:hAnsiTheme="minorHAnsi" w:cstheme="minorHAnsi"/>
          <w:bCs/>
          <w:szCs w:val="20"/>
        </w:rPr>
      </w:pPr>
    </w:p>
    <w:p w14:paraId="00DCA88F" w14:textId="54614AFE" w:rsidR="00100B25" w:rsidRDefault="00100B25" w:rsidP="00976C37">
      <w:pPr>
        <w:jc w:val="both"/>
        <w:rPr>
          <w:rFonts w:asciiTheme="minorHAnsi" w:hAnsiTheme="minorHAnsi" w:cstheme="minorHAnsi"/>
          <w:bCs/>
          <w:szCs w:val="20"/>
        </w:rPr>
      </w:pPr>
      <w:r w:rsidRPr="007D2BE6">
        <w:rPr>
          <w:rFonts w:asciiTheme="minorHAnsi" w:hAnsiTheme="minorHAnsi" w:cstheme="minorHAnsi"/>
          <w:bCs/>
          <w:szCs w:val="20"/>
        </w:rPr>
        <w:t xml:space="preserve">As well as being beneficial for employees, having a physically active workforce has many benefits for employers. Exercise helps to reduce stress and anxiety and is generally beneficial for </w:t>
      </w:r>
      <w:r w:rsidR="00974AE4" w:rsidRPr="007D2BE6">
        <w:rPr>
          <w:rFonts w:asciiTheme="minorHAnsi" w:hAnsiTheme="minorHAnsi" w:cstheme="minorHAnsi"/>
          <w:bCs/>
          <w:szCs w:val="20"/>
        </w:rPr>
        <w:t>employee’s</w:t>
      </w:r>
      <w:r w:rsidRPr="007D2BE6">
        <w:rPr>
          <w:rFonts w:asciiTheme="minorHAnsi" w:hAnsiTheme="minorHAnsi" w:cstheme="minorHAnsi"/>
          <w:bCs/>
          <w:szCs w:val="20"/>
        </w:rPr>
        <w:t xml:space="preserve"> mental health. Regular physical activity also </w:t>
      </w:r>
      <w:r w:rsidR="00974AE4" w:rsidRPr="007D2BE6">
        <w:rPr>
          <w:rFonts w:asciiTheme="minorHAnsi" w:hAnsiTheme="minorHAnsi" w:cstheme="minorHAnsi"/>
          <w:bCs/>
          <w:szCs w:val="20"/>
        </w:rPr>
        <w:t xml:space="preserve">helps employees to stay mentally </w:t>
      </w:r>
      <w:r w:rsidRPr="007D2BE6">
        <w:rPr>
          <w:rFonts w:asciiTheme="minorHAnsi" w:hAnsiTheme="minorHAnsi" w:cstheme="minorHAnsi"/>
          <w:bCs/>
          <w:szCs w:val="20"/>
        </w:rPr>
        <w:t xml:space="preserve">alert </w:t>
      </w:r>
      <w:r w:rsidR="00974AE4" w:rsidRPr="007D2BE6">
        <w:rPr>
          <w:rFonts w:asciiTheme="minorHAnsi" w:hAnsiTheme="minorHAnsi" w:cstheme="minorHAnsi"/>
          <w:bCs/>
          <w:szCs w:val="20"/>
        </w:rPr>
        <w:t xml:space="preserve">and has been shown to improve productivity, memory and concentration. </w:t>
      </w:r>
    </w:p>
    <w:p w14:paraId="35EE4B0D" w14:textId="77777777" w:rsidR="007D2BE6" w:rsidRPr="007D2BE6" w:rsidRDefault="007D2BE6" w:rsidP="00976C37">
      <w:pPr>
        <w:jc w:val="both"/>
        <w:rPr>
          <w:rFonts w:asciiTheme="minorHAnsi" w:hAnsiTheme="minorHAnsi" w:cstheme="minorHAnsi"/>
          <w:bCs/>
          <w:szCs w:val="20"/>
        </w:rPr>
      </w:pPr>
    </w:p>
    <w:p w14:paraId="5877BA18" w14:textId="77777777" w:rsidR="008F5CD5" w:rsidRDefault="008F5CD5">
      <w:pPr>
        <w:contextualSpacing w:val="0"/>
        <w:rPr>
          <w:rFonts w:asciiTheme="minorHAnsi" w:hAnsiTheme="minorHAnsi" w:cstheme="minorHAnsi"/>
          <w:b/>
          <w:color w:val="F69F19" w:themeColor="background1"/>
          <w:szCs w:val="20"/>
        </w:rPr>
      </w:pPr>
      <w:r>
        <w:rPr>
          <w:rFonts w:asciiTheme="minorHAnsi" w:hAnsiTheme="minorHAnsi" w:cstheme="minorHAnsi"/>
          <w:b/>
          <w:color w:val="F69F19" w:themeColor="background1"/>
          <w:szCs w:val="20"/>
        </w:rPr>
        <w:br w:type="page"/>
      </w:r>
    </w:p>
    <w:p w14:paraId="5CE1C0C6" w14:textId="6AE46EB3" w:rsidR="00974AE4" w:rsidRPr="007D2BE6" w:rsidRDefault="00974AE4" w:rsidP="00976C37">
      <w:pPr>
        <w:jc w:val="both"/>
        <w:rPr>
          <w:rFonts w:asciiTheme="minorHAnsi" w:hAnsiTheme="minorHAnsi" w:cstheme="minorHAnsi"/>
          <w:b/>
          <w:color w:val="F69F19" w:themeColor="background1"/>
          <w:szCs w:val="20"/>
        </w:rPr>
      </w:pPr>
      <w:r w:rsidRPr="007D2BE6">
        <w:rPr>
          <w:rFonts w:asciiTheme="minorHAnsi" w:hAnsiTheme="minorHAnsi" w:cstheme="minorHAnsi"/>
          <w:b/>
          <w:color w:val="F69F19" w:themeColor="background1"/>
          <w:szCs w:val="20"/>
        </w:rPr>
        <w:lastRenderedPageBreak/>
        <w:t xml:space="preserve">Employee’s Mental </w:t>
      </w:r>
      <w:r w:rsidR="007F175D" w:rsidRPr="007D2BE6">
        <w:rPr>
          <w:rFonts w:asciiTheme="minorHAnsi" w:hAnsiTheme="minorHAnsi" w:cstheme="minorHAnsi"/>
          <w:b/>
          <w:color w:val="F69F19" w:themeColor="background1"/>
          <w:szCs w:val="20"/>
        </w:rPr>
        <w:t xml:space="preserve">Wellbeing </w:t>
      </w:r>
      <w:r w:rsidRPr="007D2BE6">
        <w:rPr>
          <w:rFonts w:asciiTheme="minorHAnsi" w:hAnsiTheme="minorHAnsi" w:cstheme="minorHAnsi"/>
          <w:b/>
          <w:color w:val="F69F19" w:themeColor="background1"/>
          <w:szCs w:val="20"/>
        </w:rPr>
        <w:t xml:space="preserve"> </w:t>
      </w:r>
    </w:p>
    <w:p w14:paraId="7DFF7011" w14:textId="77777777" w:rsidR="007D2BE6" w:rsidRPr="007D2BE6" w:rsidRDefault="007D2BE6" w:rsidP="00976C37">
      <w:pPr>
        <w:jc w:val="both"/>
        <w:rPr>
          <w:rFonts w:asciiTheme="minorHAnsi" w:hAnsiTheme="minorHAnsi" w:cstheme="minorHAnsi"/>
          <w:b/>
          <w:sz w:val="10"/>
          <w:szCs w:val="10"/>
        </w:rPr>
      </w:pPr>
    </w:p>
    <w:p w14:paraId="65D497F6" w14:textId="4B7B33B0" w:rsidR="00974AE4" w:rsidRDefault="007F175D" w:rsidP="00976C37">
      <w:pPr>
        <w:jc w:val="both"/>
        <w:rPr>
          <w:rFonts w:asciiTheme="minorHAnsi" w:hAnsiTheme="minorHAnsi" w:cstheme="minorHAnsi"/>
          <w:bCs/>
          <w:szCs w:val="20"/>
        </w:rPr>
      </w:pPr>
      <w:r w:rsidRPr="007D2BE6">
        <w:rPr>
          <w:rFonts w:asciiTheme="minorHAnsi" w:hAnsiTheme="minorHAnsi" w:cstheme="minorHAnsi"/>
          <w:bCs/>
          <w:szCs w:val="20"/>
        </w:rPr>
        <w:t xml:space="preserve">Whilst the physical health of employees is </w:t>
      </w:r>
      <w:r w:rsidR="00EA5EB1" w:rsidRPr="007D2BE6">
        <w:rPr>
          <w:rFonts w:asciiTheme="minorHAnsi" w:hAnsiTheme="minorHAnsi" w:cstheme="minorHAnsi"/>
          <w:bCs/>
          <w:szCs w:val="20"/>
        </w:rPr>
        <w:t>very</w:t>
      </w:r>
      <w:r w:rsidRPr="007D2BE6">
        <w:rPr>
          <w:rFonts w:asciiTheme="minorHAnsi" w:hAnsiTheme="minorHAnsi" w:cstheme="minorHAnsi"/>
          <w:bCs/>
          <w:szCs w:val="20"/>
        </w:rPr>
        <w:t xml:space="preserve"> important, it is their mental wellbeing that is </w:t>
      </w:r>
      <w:r w:rsidR="002D33E6" w:rsidRPr="007D2BE6">
        <w:rPr>
          <w:rFonts w:asciiTheme="minorHAnsi" w:hAnsiTheme="minorHAnsi" w:cstheme="minorHAnsi"/>
          <w:bCs/>
          <w:szCs w:val="20"/>
        </w:rPr>
        <w:t xml:space="preserve">perhaps </w:t>
      </w:r>
      <w:r w:rsidRPr="007D2BE6">
        <w:rPr>
          <w:rFonts w:asciiTheme="minorHAnsi" w:hAnsiTheme="minorHAnsi" w:cstheme="minorHAnsi"/>
          <w:bCs/>
          <w:szCs w:val="20"/>
        </w:rPr>
        <w:t xml:space="preserve">most at risk during the current crisis. </w:t>
      </w:r>
      <w:r w:rsidR="002D33E6" w:rsidRPr="007D2BE6">
        <w:rPr>
          <w:rFonts w:asciiTheme="minorHAnsi" w:hAnsiTheme="minorHAnsi" w:cstheme="minorHAnsi"/>
          <w:bCs/>
          <w:szCs w:val="20"/>
        </w:rPr>
        <w:t>S</w:t>
      </w:r>
      <w:r w:rsidRPr="007D2BE6">
        <w:rPr>
          <w:rFonts w:asciiTheme="minorHAnsi" w:hAnsiTheme="minorHAnsi" w:cstheme="minorHAnsi"/>
          <w:bCs/>
          <w:szCs w:val="20"/>
        </w:rPr>
        <w:t xml:space="preserve">ocial isolation, </w:t>
      </w:r>
      <w:r w:rsidR="002D33E6" w:rsidRPr="007D2BE6">
        <w:rPr>
          <w:rFonts w:asciiTheme="minorHAnsi" w:hAnsiTheme="minorHAnsi" w:cstheme="minorHAnsi"/>
          <w:bCs/>
          <w:szCs w:val="20"/>
        </w:rPr>
        <w:t xml:space="preserve">fear </w:t>
      </w:r>
      <w:r w:rsidRPr="007D2BE6">
        <w:rPr>
          <w:rFonts w:asciiTheme="minorHAnsi" w:hAnsiTheme="minorHAnsi" w:cstheme="minorHAnsi"/>
          <w:bCs/>
          <w:szCs w:val="20"/>
        </w:rPr>
        <w:t>and uncertainty greatly increase</w:t>
      </w:r>
      <w:r w:rsidR="00EA5EB1" w:rsidRPr="007D2BE6">
        <w:rPr>
          <w:rFonts w:asciiTheme="minorHAnsi" w:hAnsiTheme="minorHAnsi" w:cstheme="minorHAnsi"/>
          <w:bCs/>
          <w:szCs w:val="20"/>
        </w:rPr>
        <w:t>s</w:t>
      </w:r>
      <w:r w:rsidRPr="007D2BE6">
        <w:rPr>
          <w:rFonts w:asciiTheme="minorHAnsi" w:hAnsiTheme="minorHAnsi" w:cstheme="minorHAnsi"/>
          <w:bCs/>
          <w:szCs w:val="20"/>
        </w:rPr>
        <w:t xml:space="preserve"> the likelihood of employees suffering with mental ill health. </w:t>
      </w:r>
      <w:r w:rsidR="00CA3DE0" w:rsidRPr="007D2BE6">
        <w:rPr>
          <w:rFonts w:asciiTheme="minorHAnsi" w:hAnsiTheme="minorHAnsi" w:cstheme="minorHAnsi"/>
          <w:bCs/>
          <w:szCs w:val="20"/>
        </w:rPr>
        <w:t>There are some s</w:t>
      </w:r>
      <w:r w:rsidR="000F4F97" w:rsidRPr="007D2BE6">
        <w:rPr>
          <w:rFonts w:asciiTheme="minorHAnsi" w:hAnsiTheme="minorHAnsi" w:cstheme="minorHAnsi"/>
          <w:bCs/>
          <w:szCs w:val="20"/>
        </w:rPr>
        <w:t xml:space="preserve">imple steps that can be taken to help protect the mental wellbeing of employees, and to identify when additional support may be </w:t>
      </w:r>
      <w:r w:rsidR="002D33E6" w:rsidRPr="007D2BE6">
        <w:rPr>
          <w:rFonts w:asciiTheme="minorHAnsi" w:hAnsiTheme="minorHAnsi" w:cstheme="minorHAnsi"/>
          <w:bCs/>
          <w:szCs w:val="20"/>
        </w:rPr>
        <w:t xml:space="preserve">needed, which centre around communication and support. </w:t>
      </w:r>
    </w:p>
    <w:p w14:paraId="507AB5FC" w14:textId="77777777" w:rsidR="007D2BE6" w:rsidRPr="007D2BE6" w:rsidRDefault="007D2BE6" w:rsidP="00976C37">
      <w:pPr>
        <w:jc w:val="both"/>
        <w:rPr>
          <w:rFonts w:asciiTheme="minorHAnsi" w:hAnsiTheme="minorHAnsi" w:cstheme="minorHAnsi"/>
          <w:bCs/>
          <w:szCs w:val="20"/>
        </w:rPr>
      </w:pPr>
    </w:p>
    <w:p w14:paraId="7DAA8E25" w14:textId="4F9B7D11" w:rsidR="000F4F97" w:rsidRDefault="00A23374" w:rsidP="00976C37">
      <w:pPr>
        <w:jc w:val="both"/>
        <w:rPr>
          <w:rFonts w:asciiTheme="minorHAnsi" w:hAnsiTheme="minorHAnsi" w:cstheme="minorHAnsi"/>
          <w:bCs/>
          <w:szCs w:val="20"/>
        </w:rPr>
      </w:pPr>
      <w:r w:rsidRPr="007D2BE6">
        <w:rPr>
          <w:rFonts w:asciiTheme="minorHAnsi" w:hAnsiTheme="minorHAnsi" w:cstheme="minorHAnsi"/>
          <w:noProof/>
          <w:color w:val="F69F19" w:themeColor="background1"/>
        </w:rPr>
        <w:drawing>
          <wp:anchor distT="0" distB="0" distL="114300" distR="114300" simplePos="0" relativeHeight="251669504" behindDoc="0" locked="0" layoutInCell="1" allowOverlap="1" wp14:anchorId="2F6C5A57" wp14:editId="1D57962E">
            <wp:simplePos x="0" y="0"/>
            <wp:positionH relativeFrom="margin">
              <wp:align>left</wp:align>
            </wp:positionH>
            <wp:positionV relativeFrom="paragraph">
              <wp:posOffset>6985</wp:posOffset>
            </wp:positionV>
            <wp:extent cx="2303780" cy="1402715"/>
            <wp:effectExtent l="0" t="0" r="1270" b="6985"/>
            <wp:wrapSquare wrapText="bothSides"/>
            <wp:docPr id="16" name="Picture 16" descr="person holding white Android smartphone in white 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erson holding white Android smartphone in white shirt"/>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8681"/>
                    <a:stretch/>
                  </pic:blipFill>
                  <pic:spPr bwMode="auto">
                    <a:xfrm>
                      <a:off x="0" y="0"/>
                      <a:ext cx="2303780" cy="1402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4F97" w:rsidRPr="007D2BE6">
        <w:rPr>
          <w:rFonts w:asciiTheme="minorHAnsi" w:hAnsiTheme="minorHAnsi" w:cstheme="minorHAnsi"/>
          <w:b/>
          <w:color w:val="F69F19" w:themeColor="background1"/>
          <w:szCs w:val="20"/>
        </w:rPr>
        <w:t xml:space="preserve">Communication: </w:t>
      </w:r>
      <w:r w:rsidR="000F4F97" w:rsidRPr="007D2BE6">
        <w:rPr>
          <w:rFonts w:asciiTheme="minorHAnsi" w:hAnsiTheme="minorHAnsi" w:cstheme="minorHAnsi"/>
          <w:bCs/>
          <w:szCs w:val="20"/>
        </w:rPr>
        <w:t xml:space="preserve">It is essential that regular communication is maintained between managers and their teams. </w:t>
      </w:r>
      <w:r w:rsidR="00DB4960" w:rsidRPr="007D2BE6">
        <w:rPr>
          <w:rFonts w:asciiTheme="minorHAnsi" w:hAnsiTheme="minorHAnsi" w:cstheme="minorHAnsi"/>
          <w:bCs/>
          <w:szCs w:val="20"/>
        </w:rPr>
        <w:t xml:space="preserve">At least once a week, managers should check in with their staff to make sure that they are coping with their home working arrangements, their workload, and to answer any questions or concerns that they may have. Managers should try to ask open ended questions and </w:t>
      </w:r>
      <w:r w:rsidR="002D33E6" w:rsidRPr="007D2BE6">
        <w:rPr>
          <w:rFonts w:asciiTheme="minorHAnsi" w:hAnsiTheme="minorHAnsi" w:cstheme="minorHAnsi"/>
          <w:bCs/>
          <w:szCs w:val="20"/>
        </w:rPr>
        <w:t>give</w:t>
      </w:r>
      <w:r w:rsidR="00DB4960" w:rsidRPr="007D2BE6">
        <w:rPr>
          <w:rFonts w:asciiTheme="minorHAnsi" w:hAnsiTheme="minorHAnsi" w:cstheme="minorHAnsi"/>
          <w:bCs/>
          <w:szCs w:val="20"/>
        </w:rPr>
        <w:t xml:space="preserve"> employees the opportunity</w:t>
      </w:r>
      <w:r w:rsidR="002D33E6" w:rsidRPr="007D2BE6">
        <w:rPr>
          <w:rFonts w:asciiTheme="minorHAnsi" w:hAnsiTheme="minorHAnsi" w:cstheme="minorHAnsi"/>
          <w:bCs/>
          <w:szCs w:val="20"/>
        </w:rPr>
        <w:t xml:space="preserve"> to</w:t>
      </w:r>
      <w:r w:rsidR="00DB4960" w:rsidRPr="007D2BE6">
        <w:rPr>
          <w:rFonts w:asciiTheme="minorHAnsi" w:hAnsiTheme="minorHAnsi" w:cstheme="minorHAnsi"/>
          <w:bCs/>
          <w:szCs w:val="20"/>
        </w:rPr>
        <w:t xml:space="preserve"> </w:t>
      </w:r>
      <w:r w:rsidR="00781000" w:rsidRPr="007D2BE6">
        <w:rPr>
          <w:rFonts w:asciiTheme="minorHAnsi" w:hAnsiTheme="minorHAnsi" w:cstheme="minorHAnsi"/>
          <w:bCs/>
          <w:szCs w:val="20"/>
        </w:rPr>
        <w:t xml:space="preserve">speak openly and honestly. </w:t>
      </w:r>
    </w:p>
    <w:p w14:paraId="6E1F93DA" w14:textId="77777777" w:rsidR="007D2BE6" w:rsidRDefault="007D2BE6" w:rsidP="00976C37">
      <w:pPr>
        <w:jc w:val="both"/>
        <w:rPr>
          <w:rFonts w:asciiTheme="minorHAnsi" w:hAnsiTheme="minorHAnsi" w:cstheme="minorHAnsi"/>
          <w:bCs/>
          <w:szCs w:val="20"/>
        </w:rPr>
      </w:pPr>
    </w:p>
    <w:p w14:paraId="1FFFE3DA" w14:textId="4AD37785" w:rsidR="00C95683" w:rsidRDefault="00C95683" w:rsidP="00976C37">
      <w:pPr>
        <w:jc w:val="both"/>
        <w:rPr>
          <w:rFonts w:asciiTheme="minorHAnsi" w:hAnsiTheme="minorHAnsi" w:cstheme="minorHAnsi"/>
          <w:bCs/>
          <w:szCs w:val="20"/>
        </w:rPr>
      </w:pPr>
      <w:r w:rsidRPr="007D2BE6">
        <w:rPr>
          <w:rFonts w:asciiTheme="minorHAnsi" w:hAnsiTheme="minorHAnsi" w:cstheme="minorHAnsi"/>
          <w:bCs/>
          <w:szCs w:val="20"/>
        </w:rPr>
        <w:t xml:space="preserve">Managers will also need to keep their team informed of any changes that may be taking place or provide reassurance that there are none planned. In uncertain times, rumours spread quickly and can cause undue stress and anxiety if left unchecked. </w:t>
      </w:r>
      <w:r w:rsidR="00016825" w:rsidRPr="007D2BE6">
        <w:rPr>
          <w:rFonts w:asciiTheme="minorHAnsi" w:hAnsiTheme="minorHAnsi" w:cstheme="minorHAnsi"/>
          <w:bCs/>
          <w:szCs w:val="20"/>
        </w:rPr>
        <w:t>It is not in your control to prevent the spread of false information a</w:t>
      </w:r>
      <w:r w:rsidR="00A91639" w:rsidRPr="007D2BE6">
        <w:rPr>
          <w:rFonts w:asciiTheme="minorHAnsi" w:hAnsiTheme="minorHAnsi" w:cstheme="minorHAnsi"/>
          <w:bCs/>
          <w:szCs w:val="20"/>
        </w:rPr>
        <w:t>bout</w:t>
      </w:r>
      <w:r w:rsidR="00016825" w:rsidRPr="007D2BE6">
        <w:rPr>
          <w:rFonts w:asciiTheme="minorHAnsi" w:hAnsiTheme="minorHAnsi" w:cstheme="minorHAnsi"/>
          <w:bCs/>
          <w:szCs w:val="20"/>
        </w:rPr>
        <w:t xml:space="preserve"> COVID-19, but you can help to minimise or prevent rumour</w:t>
      </w:r>
      <w:r w:rsidR="00A91639" w:rsidRPr="007D2BE6">
        <w:rPr>
          <w:rFonts w:asciiTheme="minorHAnsi" w:hAnsiTheme="minorHAnsi" w:cstheme="minorHAnsi"/>
          <w:bCs/>
          <w:szCs w:val="20"/>
        </w:rPr>
        <w:t xml:space="preserve">s </w:t>
      </w:r>
      <w:r w:rsidR="00016825" w:rsidRPr="007D2BE6">
        <w:rPr>
          <w:rFonts w:asciiTheme="minorHAnsi" w:hAnsiTheme="minorHAnsi" w:cstheme="minorHAnsi"/>
          <w:bCs/>
          <w:szCs w:val="20"/>
        </w:rPr>
        <w:t xml:space="preserve">about the future of your organisation or </w:t>
      </w:r>
      <w:r w:rsidR="002D33E6" w:rsidRPr="007D2BE6">
        <w:rPr>
          <w:rFonts w:asciiTheme="minorHAnsi" w:hAnsiTheme="minorHAnsi" w:cstheme="minorHAnsi"/>
          <w:bCs/>
          <w:szCs w:val="20"/>
        </w:rPr>
        <w:t xml:space="preserve">the security of </w:t>
      </w:r>
      <w:r w:rsidR="00016825" w:rsidRPr="007D2BE6">
        <w:rPr>
          <w:rFonts w:asciiTheme="minorHAnsi" w:hAnsiTheme="minorHAnsi" w:cstheme="minorHAnsi"/>
          <w:bCs/>
          <w:szCs w:val="20"/>
        </w:rPr>
        <w:t xml:space="preserve">particular roles. </w:t>
      </w:r>
      <w:r w:rsidR="00FF0B85" w:rsidRPr="00FF0B85">
        <w:rPr>
          <w:rFonts w:asciiTheme="minorHAnsi" w:hAnsiTheme="minorHAnsi" w:cstheme="minorHAnsi"/>
          <w:bCs/>
          <w:szCs w:val="20"/>
        </w:rPr>
        <w:t xml:space="preserve">Providing employees with the facts will help to reduce hearsay and prevent undue anxiety.  </w:t>
      </w:r>
    </w:p>
    <w:p w14:paraId="564B214F" w14:textId="77777777" w:rsidR="007D2BE6" w:rsidRPr="007D2BE6" w:rsidRDefault="007D2BE6" w:rsidP="00976C37">
      <w:pPr>
        <w:jc w:val="both"/>
        <w:rPr>
          <w:rFonts w:asciiTheme="minorHAnsi" w:hAnsiTheme="minorHAnsi" w:cstheme="minorHAnsi"/>
          <w:bCs/>
          <w:szCs w:val="20"/>
        </w:rPr>
      </w:pPr>
    </w:p>
    <w:p w14:paraId="62F5DC43" w14:textId="7C359FB3" w:rsidR="00A23374" w:rsidRDefault="00A23374" w:rsidP="00976C37">
      <w:pPr>
        <w:jc w:val="both"/>
        <w:rPr>
          <w:rFonts w:asciiTheme="minorHAnsi" w:hAnsiTheme="minorHAnsi" w:cstheme="minorHAnsi"/>
          <w:bCs/>
          <w:szCs w:val="20"/>
        </w:rPr>
      </w:pPr>
      <w:r w:rsidRPr="007D2BE6">
        <w:rPr>
          <w:rFonts w:asciiTheme="minorHAnsi" w:hAnsiTheme="minorHAnsi" w:cstheme="minorHAnsi"/>
          <w:bCs/>
          <w:szCs w:val="20"/>
        </w:rPr>
        <w:t xml:space="preserve">It is also important that employees continue to speak regularly with their colleagues. For some, the </w:t>
      </w:r>
      <w:r w:rsidR="001A2E69" w:rsidRPr="007D2BE6">
        <w:rPr>
          <w:rFonts w:asciiTheme="minorHAnsi" w:hAnsiTheme="minorHAnsi" w:cstheme="minorHAnsi"/>
          <w:bCs/>
          <w:szCs w:val="20"/>
        </w:rPr>
        <w:t xml:space="preserve">contact they have with colleagues at work may account for most, or even all, of their social interactions. Without these regular interactions there is a very real possibility of them suffering from loneliness and depression. Employees should therefore be encouraged to speak to each other during the working day, not just about work but also general conversation, as would naturally occur in a traditional workplace. </w:t>
      </w:r>
    </w:p>
    <w:p w14:paraId="303C8CF1" w14:textId="1DF7B738" w:rsidR="00FF0B85" w:rsidRDefault="00FF0B85" w:rsidP="00976C37">
      <w:pPr>
        <w:jc w:val="both"/>
        <w:rPr>
          <w:rFonts w:asciiTheme="minorHAnsi" w:hAnsiTheme="minorHAnsi" w:cstheme="minorHAnsi"/>
          <w:bCs/>
          <w:szCs w:val="20"/>
        </w:rPr>
      </w:pPr>
    </w:p>
    <w:p w14:paraId="433CA5A0" w14:textId="1A87E6B5" w:rsidR="00FF0B85" w:rsidRDefault="00FF0B85" w:rsidP="00976C37">
      <w:pPr>
        <w:jc w:val="both"/>
        <w:rPr>
          <w:rFonts w:asciiTheme="minorHAnsi" w:hAnsiTheme="minorHAnsi" w:cstheme="minorHAnsi"/>
          <w:bCs/>
          <w:szCs w:val="20"/>
        </w:rPr>
      </w:pPr>
      <w:r w:rsidRPr="00FF0B85">
        <w:rPr>
          <w:rFonts w:asciiTheme="minorHAnsi" w:hAnsiTheme="minorHAnsi" w:cstheme="minorHAnsi"/>
          <w:bCs/>
          <w:szCs w:val="20"/>
        </w:rPr>
        <w:t>Where possible the use of video calls should be promoted. There are many applications available (e.g. Microsoft Teams, Google Zoom) that can be used for video calls and conferencing, and the use of this technology will help people to feel more connected to those that they are speaking to, which is crucial at this time.</w:t>
      </w:r>
    </w:p>
    <w:p w14:paraId="737105DD" w14:textId="77777777" w:rsidR="007D2BE6" w:rsidRPr="007D2BE6" w:rsidRDefault="007D2BE6" w:rsidP="00976C37">
      <w:pPr>
        <w:jc w:val="both"/>
        <w:rPr>
          <w:rFonts w:asciiTheme="minorHAnsi" w:hAnsiTheme="minorHAnsi" w:cstheme="minorHAnsi"/>
          <w:bCs/>
          <w:szCs w:val="20"/>
        </w:rPr>
      </w:pPr>
    </w:p>
    <w:p w14:paraId="4DCA8D44" w14:textId="77777777" w:rsidR="007D2BE6" w:rsidRDefault="00016825" w:rsidP="00976C37">
      <w:pPr>
        <w:jc w:val="both"/>
        <w:rPr>
          <w:rFonts w:asciiTheme="minorHAnsi" w:hAnsiTheme="minorHAnsi" w:cstheme="minorHAnsi"/>
          <w:bCs/>
          <w:szCs w:val="20"/>
        </w:rPr>
      </w:pPr>
      <w:r w:rsidRPr="007D2BE6">
        <w:rPr>
          <w:rFonts w:asciiTheme="minorHAnsi" w:hAnsiTheme="minorHAnsi" w:cstheme="minorHAnsi"/>
          <w:noProof/>
          <w:color w:val="F69F19" w:themeColor="background1"/>
        </w:rPr>
        <w:drawing>
          <wp:anchor distT="0" distB="0" distL="114300" distR="114300" simplePos="0" relativeHeight="251670528" behindDoc="0" locked="0" layoutInCell="1" allowOverlap="1" wp14:anchorId="63DEC42D" wp14:editId="7B1D6F13">
            <wp:simplePos x="0" y="0"/>
            <wp:positionH relativeFrom="margin">
              <wp:align>right</wp:align>
            </wp:positionH>
            <wp:positionV relativeFrom="paragraph">
              <wp:posOffset>12700</wp:posOffset>
            </wp:positionV>
            <wp:extent cx="2799080" cy="1889125"/>
            <wp:effectExtent l="0" t="0" r="1270" b="0"/>
            <wp:wrapSquare wrapText="bothSides"/>
            <wp:docPr id="17" name="Picture 17" descr="Image result for helping hand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helping hand imag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99080" cy="188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8120A" w:rsidRPr="007D2BE6">
        <w:rPr>
          <w:rFonts w:asciiTheme="minorHAnsi" w:hAnsiTheme="minorHAnsi" w:cstheme="minorHAnsi"/>
          <w:b/>
          <w:color w:val="F69F19" w:themeColor="background1"/>
          <w:szCs w:val="20"/>
        </w:rPr>
        <w:t>Support:</w:t>
      </w:r>
      <w:r w:rsidR="0038120A" w:rsidRPr="007D2BE6">
        <w:rPr>
          <w:rFonts w:asciiTheme="minorHAnsi" w:hAnsiTheme="minorHAnsi" w:cstheme="minorHAnsi"/>
          <w:b/>
          <w:szCs w:val="20"/>
        </w:rPr>
        <w:t xml:space="preserve"> </w:t>
      </w:r>
      <w:r w:rsidR="0038120A" w:rsidRPr="007D2BE6">
        <w:rPr>
          <w:rFonts w:asciiTheme="minorHAnsi" w:hAnsiTheme="minorHAnsi" w:cstheme="minorHAnsi"/>
          <w:bCs/>
          <w:szCs w:val="20"/>
        </w:rPr>
        <w:t xml:space="preserve">If you do not already have a procedure in place for assisting employees who are suffering from stress or other forms of mental ill-health, now is the time to develop one. </w:t>
      </w:r>
      <w:r w:rsidR="00B43C7C" w:rsidRPr="007D2BE6">
        <w:rPr>
          <w:rFonts w:asciiTheme="minorHAnsi" w:hAnsiTheme="minorHAnsi" w:cstheme="minorHAnsi"/>
          <w:bCs/>
          <w:szCs w:val="20"/>
        </w:rPr>
        <w:t>Y</w:t>
      </w:r>
      <w:r w:rsidR="0038120A" w:rsidRPr="007D2BE6">
        <w:rPr>
          <w:rFonts w:asciiTheme="minorHAnsi" w:hAnsiTheme="minorHAnsi" w:cstheme="minorHAnsi"/>
          <w:bCs/>
          <w:szCs w:val="20"/>
        </w:rPr>
        <w:t>ou</w:t>
      </w:r>
      <w:r w:rsidR="00586BCF" w:rsidRPr="007D2BE6">
        <w:rPr>
          <w:rFonts w:asciiTheme="minorHAnsi" w:hAnsiTheme="minorHAnsi" w:cstheme="minorHAnsi"/>
          <w:bCs/>
          <w:szCs w:val="20"/>
        </w:rPr>
        <w:t xml:space="preserve"> should</w:t>
      </w:r>
      <w:r w:rsidR="0038120A" w:rsidRPr="007D2BE6">
        <w:rPr>
          <w:rFonts w:asciiTheme="minorHAnsi" w:hAnsiTheme="minorHAnsi" w:cstheme="minorHAnsi"/>
          <w:bCs/>
          <w:szCs w:val="20"/>
        </w:rPr>
        <w:t xml:space="preserve"> </w:t>
      </w:r>
      <w:r w:rsidR="002D33E6" w:rsidRPr="007D2BE6">
        <w:rPr>
          <w:rFonts w:asciiTheme="minorHAnsi" w:hAnsiTheme="minorHAnsi" w:cstheme="minorHAnsi"/>
          <w:bCs/>
          <w:szCs w:val="20"/>
        </w:rPr>
        <w:t>provide information to</w:t>
      </w:r>
      <w:r w:rsidR="0038120A" w:rsidRPr="007D2BE6">
        <w:rPr>
          <w:rFonts w:asciiTheme="minorHAnsi" w:hAnsiTheme="minorHAnsi" w:cstheme="minorHAnsi"/>
          <w:bCs/>
          <w:szCs w:val="20"/>
        </w:rPr>
        <w:t xml:space="preserve"> employees</w:t>
      </w:r>
      <w:r w:rsidR="002D33E6" w:rsidRPr="007D2BE6">
        <w:rPr>
          <w:rFonts w:asciiTheme="minorHAnsi" w:hAnsiTheme="minorHAnsi" w:cstheme="minorHAnsi"/>
          <w:bCs/>
          <w:szCs w:val="20"/>
        </w:rPr>
        <w:t xml:space="preserve"> on</w:t>
      </w:r>
      <w:r w:rsidR="0038120A" w:rsidRPr="007D2BE6">
        <w:rPr>
          <w:rFonts w:asciiTheme="minorHAnsi" w:hAnsiTheme="minorHAnsi" w:cstheme="minorHAnsi"/>
          <w:bCs/>
          <w:szCs w:val="20"/>
        </w:rPr>
        <w:t xml:space="preserve"> who to speak to if they need help (e.g. line manager, HR) and provide details of any external resources they have access to (e.g. confidential helpline, occupational health, E</w:t>
      </w:r>
      <w:r w:rsidR="00B43C7C" w:rsidRPr="007D2BE6">
        <w:rPr>
          <w:rFonts w:asciiTheme="minorHAnsi" w:hAnsiTheme="minorHAnsi" w:cstheme="minorHAnsi"/>
          <w:bCs/>
          <w:szCs w:val="20"/>
        </w:rPr>
        <w:t xml:space="preserve">mployee </w:t>
      </w:r>
      <w:r w:rsidR="0038120A" w:rsidRPr="007D2BE6">
        <w:rPr>
          <w:rFonts w:asciiTheme="minorHAnsi" w:hAnsiTheme="minorHAnsi" w:cstheme="minorHAnsi"/>
          <w:bCs/>
          <w:szCs w:val="20"/>
        </w:rPr>
        <w:t>A</w:t>
      </w:r>
      <w:r w:rsidR="00B43C7C" w:rsidRPr="007D2BE6">
        <w:rPr>
          <w:rFonts w:asciiTheme="minorHAnsi" w:hAnsiTheme="minorHAnsi" w:cstheme="minorHAnsi"/>
          <w:bCs/>
          <w:szCs w:val="20"/>
        </w:rPr>
        <w:t xml:space="preserve">ssistance </w:t>
      </w:r>
      <w:r w:rsidR="0038120A" w:rsidRPr="007D2BE6">
        <w:rPr>
          <w:rFonts w:asciiTheme="minorHAnsi" w:hAnsiTheme="minorHAnsi" w:cstheme="minorHAnsi"/>
          <w:bCs/>
          <w:szCs w:val="20"/>
        </w:rPr>
        <w:t>P</w:t>
      </w:r>
      <w:r w:rsidR="00B43C7C" w:rsidRPr="007D2BE6">
        <w:rPr>
          <w:rFonts w:asciiTheme="minorHAnsi" w:hAnsiTheme="minorHAnsi" w:cstheme="minorHAnsi"/>
          <w:bCs/>
          <w:szCs w:val="20"/>
        </w:rPr>
        <w:t>rogramme</w:t>
      </w:r>
      <w:r w:rsidR="0038120A" w:rsidRPr="007D2BE6">
        <w:rPr>
          <w:rFonts w:asciiTheme="minorHAnsi" w:hAnsiTheme="minorHAnsi" w:cstheme="minorHAnsi"/>
          <w:bCs/>
          <w:szCs w:val="20"/>
        </w:rPr>
        <w:t>, etc.).</w:t>
      </w:r>
      <w:r w:rsidR="00B43C7C" w:rsidRPr="007D2BE6">
        <w:rPr>
          <w:rFonts w:asciiTheme="minorHAnsi" w:hAnsiTheme="minorHAnsi" w:cstheme="minorHAnsi"/>
          <w:bCs/>
          <w:szCs w:val="20"/>
        </w:rPr>
        <w:t xml:space="preserve"> If you do not already have an occupational health provider that you can refer employees to, it may be beneficial to identify some potential </w:t>
      </w:r>
      <w:r w:rsidR="002D33E6" w:rsidRPr="007D2BE6">
        <w:rPr>
          <w:rFonts w:asciiTheme="minorHAnsi" w:hAnsiTheme="minorHAnsi" w:cstheme="minorHAnsi"/>
          <w:bCs/>
          <w:szCs w:val="20"/>
        </w:rPr>
        <w:t xml:space="preserve">providers </w:t>
      </w:r>
      <w:r w:rsidR="00B43C7C" w:rsidRPr="007D2BE6">
        <w:rPr>
          <w:rFonts w:asciiTheme="minorHAnsi" w:hAnsiTheme="minorHAnsi" w:cstheme="minorHAnsi"/>
          <w:bCs/>
          <w:szCs w:val="20"/>
        </w:rPr>
        <w:t xml:space="preserve">in advance. </w:t>
      </w:r>
    </w:p>
    <w:p w14:paraId="301AF1CA" w14:textId="77777777" w:rsidR="007D2BE6" w:rsidRDefault="007D2BE6" w:rsidP="00976C37">
      <w:pPr>
        <w:jc w:val="both"/>
        <w:rPr>
          <w:rFonts w:asciiTheme="minorHAnsi" w:hAnsiTheme="minorHAnsi" w:cstheme="minorHAnsi"/>
          <w:bCs/>
          <w:szCs w:val="20"/>
        </w:rPr>
      </w:pPr>
    </w:p>
    <w:p w14:paraId="0F025574" w14:textId="265657AA" w:rsidR="007D2BE6" w:rsidRDefault="00B43C7C" w:rsidP="00976C37">
      <w:pPr>
        <w:jc w:val="both"/>
        <w:rPr>
          <w:rFonts w:asciiTheme="minorHAnsi" w:hAnsiTheme="minorHAnsi" w:cstheme="minorHAnsi"/>
          <w:bCs/>
          <w:szCs w:val="20"/>
        </w:rPr>
      </w:pPr>
      <w:r w:rsidRPr="007D2BE6">
        <w:rPr>
          <w:rFonts w:asciiTheme="minorHAnsi" w:hAnsiTheme="minorHAnsi" w:cstheme="minorHAnsi"/>
          <w:bCs/>
          <w:szCs w:val="20"/>
        </w:rPr>
        <w:t>A list of NHS Trust Occupational Health providers is available at</w:t>
      </w:r>
      <w:r w:rsidR="007D2BE6">
        <w:rPr>
          <w:rFonts w:asciiTheme="minorHAnsi" w:hAnsiTheme="minorHAnsi" w:cstheme="minorHAnsi"/>
          <w:bCs/>
          <w:szCs w:val="20"/>
        </w:rPr>
        <w:t xml:space="preserve"> </w:t>
      </w:r>
      <w:hyperlink r:id="rId16" w:history="1">
        <w:r w:rsidR="007D2BE6" w:rsidRPr="007D2BE6">
          <w:rPr>
            <w:rStyle w:val="Hyperlink"/>
            <w:rFonts w:asciiTheme="minorHAnsi" w:hAnsiTheme="minorHAnsi" w:cstheme="minorHAnsi"/>
            <w:b/>
            <w:szCs w:val="20"/>
          </w:rPr>
          <w:t>THIS LI</w:t>
        </w:r>
        <w:r w:rsidR="007D2BE6" w:rsidRPr="007D2BE6">
          <w:rPr>
            <w:rStyle w:val="Hyperlink"/>
            <w:rFonts w:asciiTheme="minorHAnsi" w:hAnsiTheme="minorHAnsi" w:cstheme="minorHAnsi"/>
            <w:b/>
            <w:szCs w:val="20"/>
          </w:rPr>
          <w:t>N</w:t>
        </w:r>
        <w:r w:rsidR="007D2BE6" w:rsidRPr="007D2BE6">
          <w:rPr>
            <w:rStyle w:val="Hyperlink"/>
            <w:rFonts w:asciiTheme="minorHAnsi" w:hAnsiTheme="minorHAnsi" w:cstheme="minorHAnsi"/>
            <w:b/>
            <w:szCs w:val="20"/>
          </w:rPr>
          <w:t>K</w:t>
        </w:r>
      </w:hyperlink>
      <w:r w:rsidR="007D2BE6">
        <w:rPr>
          <w:rFonts w:asciiTheme="minorHAnsi" w:hAnsiTheme="minorHAnsi" w:cstheme="minorHAnsi"/>
          <w:bCs/>
          <w:szCs w:val="20"/>
        </w:rPr>
        <w:t>.</w:t>
      </w:r>
    </w:p>
    <w:p w14:paraId="4F8C7B49" w14:textId="596DDD5D" w:rsidR="007D2BE6" w:rsidRPr="007D2BE6" w:rsidRDefault="007D2BE6" w:rsidP="00976C37">
      <w:pPr>
        <w:jc w:val="both"/>
        <w:rPr>
          <w:rFonts w:asciiTheme="minorHAnsi" w:hAnsiTheme="minorHAnsi" w:cstheme="minorHAnsi"/>
          <w:bCs/>
          <w:szCs w:val="20"/>
        </w:rPr>
      </w:pPr>
      <w:r>
        <w:rPr>
          <w:rFonts w:asciiTheme="minorHAnsi" w:hAnsiTheme="minorHAnsi" w:cstheme="minorHAnsi"/>
          <w:bCs/>
          <w:szCs w:val="20"/>
        </w:rPr>
        <w:t xml:space="preserve"> </w:t>
      </w:r>
    </w:p>
    <w:p w14:paraId="242FB527" w14:textId="333B1AF2" w:rsidR="007D2BE6" w:rsidRDefault="00A91639" w:rsidP="00976C37">
      <w:pPr>
        <w:jc w:val="both"/>
        <w:rPr>
          <w:rFonts w:asciiTheme="minorHAnsi" w:hAnsiTheme="minorHAnsi" w:cstheme="minorHAnsi"/>
          <w:bCs/>
          <w:szCs w:val="20"/>
        </w:rPr>
      </w:pPr>
      <w:r w:rsidRPr="007D2BE6">
        <w:rPr>
          <w:rFonts w:asciiTheme="minorHAnsi" w:hAnsiTheme="minorHAnsi" w:cstheme="minorHAnsi"/>
          <w:bCs/>
          <w:szCs w:val="20"/>
        </w:rPr>
        <w:lastRenderedPageBreak/>
        <w:t xml:space="preserve">Regular reminders of the support that is available should be sent to employees. For smaller organisations this may simply be an email to remind staff that members of the management team are available and willing to hear any concerns or difficulties they may be having. </w:t>
      </w:r>
    </w:p>
    <w:p w14:paraId="7D85973E" w14:textId="77777777" w:rsidR="007D2BE6" w:rsidRPr="007D2BE6" w:rsidRDefault="007D2BE6" w:rsidP="00976C37">
      <w:pPr>
        <w:jc w:val="both"/>
        <w:rPr>
          <w:rFonts w:asciiTheme="minorHAnsi" w:hAnsiTheme="minorHAnsi" w:cstheme="minorHAnsi"/>
          <w:bCs/>
          <w:szCs w:val="20"/>
        </w:rPr>
      </w:pPr>
    </w:p>
    <w:p w14:paraId="185445A1" w14:textId="2B20CCC4" w:rsidR="007D2BE6" w:rsidRPr="008F5CD5" w:rsidRDefault="00A91639" w:rsidP="00976C37">
      <w:pPr>
        <w:jc w:val="both"/>
        <w:rPr>
          <w:rFonts w:asciiTheme="minorHAnsi" w:hAnsiTheme="minorHAnsi" w:cstheme="minorHAnsi"/>
          <w:bCs/>
          <w:szCs w:val="20"/>
        </w:rPr>
      </w:pPr>
      <w:r w:rsidRPr="007D2BE6">
        <w:rPr>
          <w:rFonts w:asciiTheme="minorHAnsi" w:hAnsiTheme="minorHAnsi" w:cstheme="minorHAnsi"/>
          <w:bCs/>
          <w:szCs w:val="20"/>
        </w:rPr>
        <w:t>Guidance for employees on simple steps that they can take to look after their own mental well</w:t>
      </w:r>
      <w:r w:rsidR="003B0421" w:rsidRPr="007D2BE6">
        <w:rPr>
          <w:rFonts w:asciiTheme="minorHAnsi" w:hAnsiTheme="minorHAnsi" w:cstheme="minorHAnsi"/>
          <w:bCs/>
          <w:szCs w:val="20"/>
        </w:rPr>
        <w:t xml:space="preserve">being is given in our brief guide for employees. </w:t>
      </w:r>
    </w:p>
    <w:p w14:paraId="2A0CB04F" w14:textId="43D485B7" w:rsidR="00FF0B85" w:rsidRDefault="00FF0B85" w:rsidP="00976C37">
      <w:pPr>
        <w:jc w:val="both"/>
        <w:rPr>
          <w:rFonts w:asciiTheme="minorHAnsi" w:hAnsiTheme="minorHAnsi" w:cstheme="minorHAnsi"/>
          <w:b/>
          <w:szCs w:val="20"/>
        </w:rPr>
      </w:pPr>
    </w:p>
    <w:p w14:paraId="1B4E5E7E" w14:textId="77777777" w:rsidR="00FF0B85" w:rsidRPr="00FF0B85" w:rsidRDefault="00FF0B85" w:rsidP="00FF0B85">
      <w:pPr>
        <w:jc w:val="both"/>
        <w:rPr>
          <w:rFonts w:asciiTheme="minorHAnsi" w:hAnsiTheme="minorHAnsi" w:cstheme="minorHAnsi"/>
          <w:b/>
          <w:color w:val="F69F19" w:themeColor="background1"/>
          <w:szCs w:val="20"/>
        </w:rPr>
      </w:pPr>
      <w:r w:rsidRPr="00FF0B85">
        <w:rPr>
          <w:rFonts w:asciiTheme="minorHAnsi" w:hAnsiTheme="minorHAnsi" w:cstheme="minorHAnsi"/>
          <w:b/>
          <w:color w:val="F69F19" w:themeColor="background1"/>
          <w:szCs w:val="20"/>
        </w:rPr>
        <w:t xml:space="preserve">Manager’s Mental Wellbeing  </w:t>
      </w:r>
    </w:p>
    <w:p w14:paraId="77807CC5" w14:textId="77777777" w:rsidR="00FF0B85" w:rsidRDefault="00FF0B85" w:rsidP="00FF0B85">
      <w:pPr>
        <w:jc w:val="both"/>
        <w:rPr>
          <w:rFonts w:asciiTheme="minorHAnsi" w:hAnsiTheme="minorHAnsi" w:cstheme="minorHAnsi"/>
          <w:bCs/>
          <w:szCs w:val="20"/>
        </w:rPr>
      </w:pPr>
    </w:p>
    <w:p w14:paraId="4B1A8E1A" w14:textId="1CDA2314" w:rsidR="00FF0B85" w:rsidRPr="00FF0B85" w:rsidRDefault="00FF0B85" w:rsidP="00FF0B85">
      <w:pPr>
        <w:jc w:val="both"/>
        <w:rPr>
          <w:rFonts w:asciiTheme="minorHAnsi" w:hAnsiTheme="minorHAnsi" w:cstheme="minorHAnsi"/>
          <w:bCs/>
          <w:szCs w:val="20"/>
        </w:rPr>
      </w:pPr>
      <w:r w:rsidRPr="00FF0B85">
        <w:rPr>
          <w:rFonts w:asciiTheme="minorHAnsi" w:hAnsiTheme="minorHAnsi" w:cstheme="minorHAnsi"/>
          <w:bCs/>
          <w:szCs w:val="20"/>
        </w:rPr>
        <w:t>It is vitally important that managers also take care of their own mental wellbeing. It is easy for managers to focus on the wellbeing of their teams and neglect to take appropriate care of themselves. This has obvious implications for their own mental health and may also make them less effective as managers. The guidance given in our brief guide for employees is equally applicable to managers and may be referred to for some practical tips.</w:t>
      </w:r>
    </w:p>
    <w:p w14:paraId="1FE4854A" w14:textId="77777777" w:rsidR="00FF0B85" w:rsidRDefault="00FF0B85" w:rsidP="00FF0B85">
      <w:pPr>
        <w:jc w:val="both"/>
        <w:rPr>
          <w:rFonts w:asciiTheme="minorHAnsi" w:hAnsiTheme="minorHAnsi" w:cstheme="minorHAnsi"/>
          <w:b/>
          <w:szCs w:val="20"/>
        </w:rPr>
      </w:pPr>
    </w:p>
    <w:p w14:paraId="6FAEC09C" w14:textId="73FFE663" w:rsidR="00D211EA" w:rsidRPr="007D2BE6" w:rsidRDefault="00D211EA" w:rsidP="00976C37">
      <w:pPr>
        <w:jc w:val="both"/>
        <w:rPr>
          <w:rFonts w:asciiTheme="minorHAnsi" w:hAnsiTheme="minorHAnsi" w:cstheme="minorHAnsi"/>
          <w:b/>
          <w:color w:val="F69F19" w:themeColor="background1"/>
          <w:szCs w:val="20"/>
        </w:rPr>
      </w:pPr>
      <w:r w:rsidRPr="007D2BE6">
        <w:rPr>
          <w:rFonts w:asciiTheme="minorHAnsi" w:hAnsiTheme="minorHAnsi" w:cstheme="minorHAnsi"/>
          <w:b/>
          <w:color w:val="F69F19" w:themeColor="background1"/>
          <w:szCs w:val="20"/>
        </w:rPr>
        <w:t xml:space="preserve">Accidents and Incidents </w:t>
      </w:r>
    </w:p>
    <w:p w14:paraId="3B3646F2" w14:textId="77777777" w:rsidR="007D2BE6" w:rsidRPr="007D2BE6" w:rsidRDefault="007D2BE6" w:rsidP="00976C37">
      <w:pPr>
        <w:jc w:val="both"/>
        <w:rPr>
          <w:rFonts w:asciiTheme="minorHAnsi" w:hAnsiTheme="minorHAnsi" w:cstheme="minorHAnsi"/>
          <w:b/>
          <w:szCs w:val="20"/>
        </w:rPr>
      </w:pPr>
    </w:p>
    <w:p w14:paraId="44EFBC03" w14:textId="52FAF685" w:rsidR="00566A3D" w:rsidRPr="007D2BE6" w:rsidRDefault="001E26AC" w:rsidP="00976C37">
      <w:pPr>
        <w:jc w:val="both"/>
        <w:rPr>
          <w:rFonts w:asciiTheme="minorHAnsi" w:hAnsiTheme="minorHAnsi" w:cstheme="minorHAnsi"/>
          <w:szCs w:val="20"/>
        </w:rPr>
      </w:pPr>
      <w:r w:rsidRPr="007D2BE6">
        <w:rPr>
          <w:rFonts w:asciiTheme="minorHAnsi" w:hAnsiTheme="minorHAnsi" w:cstheme="minorHAnsi"/>
          <w:noProof/>
        </w:rPr>
        <w:drawing>
          <wp:anchor distT="0" distB="0" distL="114300" distR="114300" simplePos="0" relativeHeight="251671552" behindDoc="0" locked="0" layoutInCell="1" allowOverlap="1" wp14:anchorId="4FD27B6A" wp14:editId="44DE21DE">
            <wp:simplePos x="0" y="0"/>
            <wp:positionH relativeFrom="margin">
              <wp:align>left</wp:align>
            </wp:positionH>
            <wp:positionV relativeFrom="paragraph">
              <wp:posOffset>13970</wp:posOffset>
            </wp:positionV>
            <wp:extent cx="1411605" cy="1411605"/>
            <wp:effectExtent l="0" t="0" r="0" b="0"/>
            <wp:wrapSquare wrapText="bothSides"/>
            <wp:docPr id="18" name="Picture 18" descr="Image result for first ai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first aid cros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1605" cy="1411605"/>
                    </a:xfrm>
                    <a:prstGeom prst="rect">
                      <a:avLst/>
                    </a:prstGeom>
                    <a:noFill/>
                    <a:ln>
                      <a:noFill/>
                    </a:ln>
                  </pic:spPr>
                </pic:pic>
              </a:graphicData>
            </a:graphic>
            <wp14:sizeRelH relativeFrom="page">
              <wp14:pctWidth>0</wp14:pctWidth>
            </wp14:sizeRelH>
            <wp14:sizeRelV relativeFrom="page">
              <wp14:pctHeight>0</wp14:pctHeight>
            </wp14:sizeRelV>
          </wp:anchor>
        </w:drawing>
      </w:r>
      <w:r w:rsidR="00D211EA" w:rsidRPr="007D2BE6">
        <w:rPr>
          <w:rFonts w:asciiTheme="minorHAnsi" w:hAnsiTheme="minorHAnsi" w:cstheme="minorHAnsi"/>
          <w:bCs/>
          <w:szCs w:val="20"/>
        </w:rPr>
        <w:t xml:space="preserve">More accidents occur in the home than in offices. The </w:t>
      </w:r>
      <w:r w:rsidR="00D211EA" w:rsidRPr="007D2BE6">
        <w:rPr>
          <w:rFonts w:asciiTheme="minorHAnsi" w:hAnsiTheme="minorHAnsi" w:cstheme="minorHAnsi"/>
          <w:bCs/>
          <w:i/>
          <w:iCs/>
          <w:szCs w:val="20"/>
        </w:rPr>
        <w:t xml:space="preserve">Home Worker Self-Assessment Checklist </w:t>
      </w:r>
      <w:r w:rsidR="00D211EA" w:rsidRPr="007D2BE6">
        <w:rPr>
          <w:rFonts w:asciiTheme="minorHAnsi" w:hAnsiTheme="minorHAnsi" w:cstheme="minorHAnsi"/>
          <w:bCs/>
          <w:szCs w:val="20"/>
        </w:rPr>
        <w:t xml:space="preserve">will help employees to identify and control some common hazards, but accidents are still likely to occur. It is therefore important that employees are reminded of the need to report accidents, incidents and near misses and how to do so. Arrangements will also need to be put in place for the reports to be reviewed by a manager(s). This will help to identify common hazards and enable tailored guidance on preventing accidents to be developed and issued. </w:t>
      </w:r>
    </w:p>
    <w:sectPr w:rsidR="00566A3D" w:rsidRPr="007D2BE6" w:rsidSect="00976C37">
      <w:headerReference w:type="default" r:id="rId18"/>
      <w:pgSz w:w="11906" w:h="16838"/>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6E34D" w14:textId="77777777" w:rsidR="00F60DB6" w:rsidRDefault="00F60DB6" w:rsidP="00CC5C8C">
      <w:r>
        <w:separator/>
      </w:r>
    </w:p>
  </w:endnote>
  <w:endnote w:type="continuationSeparator" w:id="0">
    <w:p w14:paraId="3FBCC166" w14:textId="77777777" w:rsidR="00F60DB6" w:rsidRDefault="00F60DB6" w:rsidP="00CC5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ans">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8CE03" w14:textId="77777777" w:rsidR="00F60DB6" w:rsidRDefault="00F60DB6" w:rsidP="00CC5C8C">
      <w:r>
        <w:separator/>
      </w:r>
    </w:p>
  </w:footnote>
  <w:footnote w:type="continuationSeparator" w:id="0">
    <w:p w14:paraId="76E83AA8" w14:textId="77777777" w:rsidR="00F60DB6" w:rsidRDefault="00F60DB6" w:rsidP="00CC5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D2F77" w14:textId="1F0306FE" w:rsidR="00CC5C8C" w:rsidRDefault="007D2BE6" w:rsidP="00CC5C8C">
    <w:pPr>
      <w:pStyle w:val="Header"/>
      <w:jc w:val="right"/>
    </w:pPr>
    <w:r w:rsidRPr="00824402">
      <w:rPr>
        <w:rFonts w:ascii="Century Gothic" w:hAnsi="Century Gothic"/>
        <w:b/>
        <w:bCs/>
        <w:noProof/>
        <w:color w:val="979797" w:themeColor="accent2"/>
        <w:u w:val="single"/>
        <w:lang w:val="en-US" w:bidi="he-IL"/>
      </w:rPr>
      <w:drawing>
        <wp:anchor distT="0" distB="0" distL="114300" distR="114300" simplePos="0" relativeHeight="251659264" behindDoc="0" locked="0" layoutInCell="1" allowOverlap="1" wp14:anchorId="522FF63E" wp14:editId="6AFFF77B">
          <wp:simplePos x="0" y="0"/>
          <wp:positionH relativeFrom="margin">
            <wp:align>center</wp:align>
          </wp:positionH>
          <wp:positionV relativeFrom="paragraph">
            <wp:posOffset>168698</wp:posOffset>
          </wp:positionV>
          <wp:extent cx="2850303" cy="249720"/>
          <wp:effectExtent l="0" t="0" r="7620" b="0"/>
          <wp:wrapNone/>
          <wp:docPr id="24" name="Picture 24" descr="Hettle-Andrews-Logo-2017-with-Strapline-Orange-and-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ttle-Andrews-Logo-2017-with-Strapline-Orange-and-grey"/>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84" t="-2882" r="973" b="55548"/>
                  <a:stretch/>
                </pic:blipFill>
                <pic:spPr bwMode="auto">
                  <a:xfrm>
                    <a:off x="0" y="0"/>
                    <a:ext cx="2850303" cy="249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F04D9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1CA47B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30C1D33"/>
    <w:multiLevelType w:val="hybridMultilevel"/>
    <w:tmpl w:val="40C6774C"/>
    <w:lvl w:ilvl="0" w:tplc="AE4E5B2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073E42"/>
    <w:multiLevelType w:val="multilevel"/>
    <w:tmpl w:val="1E9E0806"/>
    <w:lvl w:ilvl="0">
      <w:start w:val="1"/>
      <w:numFmt w:val="decimal"/>
      <w:pStyle w:val="ListNumber"/>
      <w:lvlText w:val="%1."/>
      <w:lvlJc w:val="left"/>
      <w:pPr>
        <w:ind w:left="284" w:hanging="284"/>
      </w:pPr>
      <w:rPr>
        <w:rFonts w:ascii="Open Sans" w:hAnsi="Open Sans" w:hint="default"/>
        <w:color w:val="333E48" w:themeColor="text1"/>
        <w:sz w:val="20"/>
      </w:rPr>
    </w:lvl>
    <w:lvl w:ilvl="1">
      <w:start w:val="1"/>
      <w:numFmt w:val="lowerLetter"/>
      <w:lvlText w:val="%2."/>
      <w:lvlJc w:val="left"/>
      <w:pPr>
        <w:ind w:left="567" w:hanging="283"/>
      </w:pPr>
      <w:rPr>
        <w:rFonts w:ascii="Open Sans" w:hAnsi="Open Sans" w:hint="default"/>
        <w:color w:val="333E48" w:themeColor="text1"/>
        <w:sz w:val="20"/>
      </w:rPr>
    </w:lvl>
    <w:lvl w:ilvl="2">
      <w:start w:val="1"/>
      <w:numFmt w:val="decimal"/>
      <w:lvlText w:val="%3)"/>
      <w:lvlJc w:val="left"/>
      <w:pPr>
        <w:ind w:left="851" w:hanging="284"/>
      </w:pPr>
      <w:rPr>
        <w:rFonts w:ascii="Open Sans" w:hAnsi="Open Sans" w:hint="default"/>
        <w:color w:val="333E48" w:themeColor="text1"/>
        <w:sz w:val="20"/>
      </w:rPr>
    </w:lvl>
    <w:lvl w:ilvl="3">
      <w:start w:val="1"/>
      <w:numFmt w:val="lowerLetter"/>
      <w:lvlText w:val="%4)"/>
      <w:lvlJc w:val="left"/>
      <w:pPr>
        <w:ind w:left="1134" w:hanging="283"/>
      </w:pPr>
      <w:rPr>
        <w:rFonts w:ascii="Open Sans" w:hAnsi="Open Sans" w:hint="default"/>
        <w:color w:val="333E48" w:themeColor="text1"/>
        <w:sz w:val="20"/>
      </w:rPr>
    </w:lvl>
    <w:lvl w:ilvl="4">
      <w:start w:val="1"/>
      <w:numFmt w:val="lowerRoman"/>
      <w:lvlText w:val="%5."/>
      <w:lvlJc w:val="left"/>
      <w:pPr>
        <w:ind w:left="1418" w:hanging="284"/>
      </w:pPr>
      <w:rPr>
        <w:rFonts w:ascii="Open Sans" w:hAnsi="Open Sans" w:hint="default"/>
        <w:color w:val="333E48" w:themeColor="text1"/>
        <w:sz w:val="20"/>
      </w:rPr>
    </w:lvl>
    <w:lvl w:ilvl="5">
      <w:start w:val="1"/>
      <w:numFmt w:val="bullet"/>
      <w:lvlText w:val=""/>
      <w:lvlJc w:val="left"/>
      <w:pPr>
        <w:ind w:left="1701" w:hanging="283"/>
      </w:pPr>
      <w:rPr>
        <w:rFonts w:ascii="Symbol" w:hAnsi="Symbol" w:hint="default"/>
        <w:color w:val="333E48" w:themeColor="text1"/>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67904C1"/>
    <w:multiLevelType w:val="multilevel"/>
    <w:tmpl w:val="88BAD8EA"/>
    <w:lvl w:ilvl="0">
      <w:start w:val="1"/>
      <w:numFmt w:val="bullet"/>
      <w:pStyle w:val="ListBullet"/>
      <w:lvlText w:val=""/>
      <w:lvlJc w:val="left"/>
      <w:pPr>
        <w:ind w:left="284" w:hanging="284"/>
      </w:pPr>
      <w:rPr>
        <w:rFonts w:ascii="Symbol" w:hAnsi="Symbol" w:hint="default"/>
        <w:b w:val="0"/>
        <w:i w:val="0"/>
        <w:color w:val="333E48" w:themeColor="text1"/>
        <w:sz w:val="20"/>
      </w:rPr>
    </w:lvl>
    <w:lvl w:ilvl="1">
      <w:start w:val="1"/>
      <w:numFmt w:val="bullet"/>
      <w:lvlRestart w:val="0"/>
      <w:lvlText w:val="o"/>
      <w:lvlJc w:val="left"/>
      <w:pPr>
        <w:ind w:left="567" w:hanging="283"/>
      </w:pPr>
      <w:rPr>
        <w:rFonts w:ascii="Courier New" w:hAnsi="Courier New" w:hint="default"/>
      </w:rPr>
    </w:lvl>
    <w:lvl w:ilvl="2">
      <w:start w:val="1"/>
      <w:numFmt w:val="bullet"/>
      <w:lvlRestart w:val="0"/>
      <w:lvlText w:val=""/>
      <w:lvlJc w:val="left"/>
      <w:pPr>
        <w:ind w:left="851" w:hanging="284"/>
      </w:pPr>
      <w:rPr>
        <w:rFonts w:ascii="Wingdings" w:hAnsi="Wingdings" w:hint="default"/>
      </w:rPr>
    </w:lvl>
    <w:lvl w:ilvl="3">
      <w:start w:val="1"/>
      <w:numFmt w:val="bullet"/>
      <w:lvlRestart w:val="0"/>
      <w:lvlText w:val=""/>
      <w:lvlJc w:val="left"/>
      <w:pPr>
        <w:ind w:left="1134" w:hanging="283"/>
      </w:pPr>
      <w:rPr>
        <w:rFonts w:ascii="Wingdings" w:hAnsi="Wingdings" w:hint="default"/>
        <w:color w:val="333E48" w:themeColor="text1"/>
      </w:rPr>
    </w:lvl>
    <w:lvl w:ilvl="4">
      <w:start w:val="1"/>
      <w:numFmt w:val="bullet"/>
      <w:lvlText w:val="o"/>
      <w:lvlJc w:val="left"/>
      <w:pPr>
        <w:ind w:left="6024" w:hanging="360"/>
      </w:pPr>
      <w:rPr>
        <w:rFonts w:ascii="Courier New" w:hAnsi="Courier New" w:cs="Courier New" w:hint="default"/>
      </w:rPr>
    </w:lvl>
    <w:lvl w:ilvl="5">
      <w:start w:val="1"/>
      <w:numFmt w:val="bullet"/>
      <w:lvlText w:val=""/>
      <w:lvlJc w:val="left"/>
      <w:pPr>
        <w:ind w:left="6744" w:hanging="360"/>
      </w:pPr>
      <w:rPr>
        <w:rFonts w:ascii="Wingdings" w:hAnsi="Wingdings" w:hint="default"/>
      </w:rPr>
    </w:lvl>
    <w:lvl w:ilvl="6">
      <w:start w:val="1"/>
      <w:numFmt w:val="bullet"/>
      <w:lvlText w:val=""/>
      <w:lvlJc w:val="left"/>
      <w:pPr>
        <w:ind w:left="7464" w:hanging="360"/>
      </w:pPr>
      <w:rPr>
        <w:rFonts w:ascii="Symbol" w:hAnsi="Symbol" w:hint="default"/>
      </w:rPr>
    </w:lvl>
    <w:lvl w:ilvl="7">
      <w:start w:val="1"/>
      <w:numFmt w:val="bullet"/>
      <w:lvlText w:val="o"/>
      <w:lvlJc w:val="left"/>
      <w:pPr>
        <w:ind w:left="8184" w:hanging="360"/>
      </w:pPr>
      <w:rPr>
        <w:rFonts w:ascii="Courier New" w:hAnsi="Courier New" w:cs="Courier New" w:hint="default"/>
      </w:rPr>
    </w:lvl>
    <w:lvl w:ilvl="8">
      <w:start w:val="1"/>
      <w:numFmt w:val="bullet"/>
      <w:lvlText w:val=""/>
      <w:lvlJc w:val="left"/>
      <w:pPr>
        <w:ind w:left="8904" w:hanging="360"/>
      </w:pPr>
      <w:rPr>
        <w:rFonts w:ascii="Wingdings" w:hAnsi="Wingdings" w:hint="default"/>
      </w:rPr>
    </w:lvl>
  </w:abstractNum>
  <w:abstractNum w:abstractNumId="5" w15:restartNumberingAfterBreak="0">
    <w:nsid w:val="718F4AE6"/>
    <w:multiLevelType w:val="hybridMultilevel"/>
    <w:tmpl w:val="3C0CE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F1E73DC"/>
    <w:multiLevelType w:val="hybridMultilevel"/>
    <w:tmpl w:val="08868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8C"/>
    <w:rsid w:val="000008F1"/>
    <w:rsid w:val="00016825"/>
    <w:rsid w:val="0009317D"/>
    <w:rsid w:val="000D53CD"/>
    <w:rsid w:val="000F4F97"/>
    <w:rsid w:val="00100B25"/>
    <w:rsid w:val="0016048D"/>
    <w:rsid w:val="00163DBF"/>
    <w:rsid w:val="0017424C"/>
    <w:rsid w:val="001A2E69"/>
    <w:rsid w:val="001B4AB4"/>
    <w:rsid w:val="001D17DC"/>
    <w:rsid w:val="001D581D"/>
    <w:rsid w:val="001E26AC"/>
    <w:rsid w:val="001F0E44"/>
    <w:rsid w:val="00252C41"/>
    <w:rsid w:val="002D33E6"/>
    <w:rsid w:val="00311266"/>
    <w:rsid w:val="00373C0A"/>
    <w:rsid w:val="0038120A"/>
    <w:rsid w:val="003B0421"/>
    <w:rsid w:val="003C19BD"/>
    <w:rsid w:val="003D630D"/>
    <w:rsid w:val="004E2E06"/>
    <w:rsid w:val="00513855"/>
    <w:rsid w:val="00517A86"/>
    <w:rsid w:val="00566A3D"/>
    <w:rsid w:val="0057412D"/>
    <w:rsid w:val="0058671C"/>
    <w:rsid w:val="00586BCF"/>
    <w:rsid w:val="005B7CD8"/>
    <w:rsid w:val="005E237F"/>
    <w:rsid w:val="005F3823"/>
    <w:rsid w:val="00645E03"/>
    <w:rsid w:val="00652404"/>
    <w:rsid w:val="006564DA"/>
    <w:rsid w:val="00657D6C"/>
    <w:rsid w:val="006B06EB"/>
    <w:rsid w:val="006B6F34"/>
    <w:rsid w:val="006D79FA"/>
    <w:rsid w:val="006E0B16"/>
    <w:rsid w:val="006F0622"/>
    <w:rsid w:val="007048EF"/>
    <w:rsid w:val="00717D1C"/>
    <w:rsid w:val="007306B0"/>
    <w:rsid w:val="0073712B"/>
    <w:rsid w:val="00740117"/>
    <w:rsid w:val="00776B74"/>
    <w:rsid w:val="00781000"/>
    <w:rsid w:val="007A06EF"/>
    <w:rsid w:val="007B017E"/>
    <w:rsid w:val="007D2BE6"/>
    <w:rsid w:val="007F175D"/>
    <w:rsid w:val="00824402"/>
    <w:rsid w:val="00832C1C"/>
    <w:rsid w:val="008356DE"/>
    <w:rsid w:val="008A131F"/>
    <w:rsid w:val="008C13CD"/>
    <w:rsid w:val="008F5CD5"/>
    <w:rsid w:val="00944D5A"/>
    <w:rsid w:val="00974AE4"/>
    <w:rsid w:val="00976C37"/>
    <w:rsid w:val="00992DC9"/>
    <w:rsid w:val="009C6516"/>
    <w:rsid w:val="00A23374"/>
    <w:rsid w:val="00A83A7B"/>
    <w:rsid w:val="00A91639"/>
    <w:rsid w:val="00AD300B"/>
    <w:rsid w:val="00AD30C3"/>
    <w:rsid w:val="00AE2610"/>
    <w:rsid w:val="00AE2E38"/>
    <w:rsid w:val="00B43C7C"/>
    <w:rsid w:val="00B6132F"/>
    <w:rsid w:val="00B92343"/>
    <w:rsid w:val="00C176E7"/>
    <w:rsid w:val="00C710AD"/>
    <w:rsid w:val="00C95683"/>
    <w:rsid w:val="00CA3DE0"/>
    <w:rsid w:val="00CC5C8C"/>
    <w:rsid w:val="00CD5317"/>
    <w:rsid w:val="00D07569"/>
    <w:rsid w:val="00D211EA"/>
    <w:rsid w:val="00D24ABC"/>
    <w:rsid w:val="00D25405"/>
    <w:rsid w:val="00D43380"/>
    <w:rsid w:val="00D9274F"/>
    <w:rsid w:val="00DB4960"/>
    <w:rsid w:val="00DE70F9"/>
    <w:rsid w:val="00E456C7"/>
    <w:rsid w:val="00E756DB"/>
    <w:rsid w:val="00EA0560"/>
    <w:rsid w:val="00EA5EB1"/>
    <w:rsid w:val="00EE56C7"/>
    <w:rsid w:val="00F461CC"/>
    <w:rsid w:val="00F60DB6"/>
    <w:rsid w:val="00F77FC2"/>
    <w:rsid w:val="00F8379B"/>
    <w:rsid w:val="00F9660E"/>
    <w:rsid w:val="00FF0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0715BB39"/>
  <w15:chartTrackingRefBased/>
  <w15:docId w15:val="{EBFFEBD8-0D26-45F0-B1FA-FF3BBD8F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Sans" w:eastAsiaTheme="minorHAnsi" w:hAnsi="OpenSans" w:cs="OpenSans"/>
        <w:color w:val="333E48" w:themeColor="text1"/>
        <w:lang w:val="en-GB"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BE6"/>
    <w:pPr>
      <w:contextualSpacing/>
    </w:pPr>
    <w:rPr>
      <w:rFonts w:ascii="Open Sans" w:hAnsi="Open Sans"/>
      <w:szCs w:val="22"/>
    </w:rPr>
  </w:style>
  <w:style w:type="paragraph" w:styleId="Heading1">
    <w:name w:val="heading 1"/>
    <w:basedOn w:val="Normal"/>
    <w:link w:val="Heading1Char"/>
    <w:uiPriority w:val="2"/>
    <w:qFormat/>
    <w:rsid w:val="007D2BE6"/>
    <w:pPr>
      <w:keepNext/>
      <w:keepLines/>
      <w:spacing w:after="120"/>
      <w:contextualSpacing w:val="0"/>
      <w:outlineLvl w:val="0"/>
    </w:pPr>
    <w:rPr>
      <w:b/>
      <w:bCs/>
      <w:color w:val="F69F19" w:themeColor="background1"/>
      <w:kern w:val="36"/>
      <w:sz w:val="40"/>
      <w:szCs w:val="40"/>
    </w:rPr>
  </w:style>
  <w:style w:type="paragraph" w:styleId="Heading2">
    <w:name w:val="heading 2"/>
    <w:basedOn w:val="Normal"/>
    <w:next w:val="Normal"/>
    <w:link w:val="Heading2Char"/>
    <w:autoRedefine/>
    <w:uiPriority w:val="2"/>
    <w:qFormat/>
    <w:rsid w:val="007D2BE6"/>
    <w:pPr>
      <w:keepNext/>
      <w:keepLines/>
      <w:pBdr>
        <w:bottom w:val="single" w:sz="24" w:space="0" w:color="F69F19"/>
      </w:pBdr>
      <w:spacing w:before="100" w:beforeAutospacing="1" w:after="120"/>
      <w:contextualSpacing w:val="0"/>
      <w:outlineLvl w:val="1"/>
    </w:pPr>
    <w:rPr>
      <w:rFonts w:cs="Open Sans"/>
      <w:b/>
      <w:bCs/>
      <w:color w:val="384248"/>
      <w:sz w:val="32"/>
      <w:szCs w:val="32"/>
    </w:rPr>
  </w:style>
  <w:style w:type="paragraph" w:styleId="Heading3">
    <w:name w:val="heading 3"/>
    <w:basedOn w:val="Normal"/>
    <w:next w:val="Normal"/>
    <w:link w:val="Heading3Char"/>
    <w:autoRedefine/>
    <w:uiPriority w:val="2"/>
    <w:qFormat/>
    <w:rsid w:val="007D2BE6"/>
    <w:pPr>
      <w:keepNext/>
      <w:keepLines/>
      <w:spacing w:before="120" w:after="120"/>
      <w:contextualSpacing w:val="0"/>
      <w:outlineLvl w:val="2"/>
    </w:pPr>
    <w:rPr>
      <w:b/>
      <w:bCs/>
      <w:color w:val="333E48"/>
      <w:sz w:val="24"/>
      <w:szCs w:val="20"/>
    </w:rPr>
  </w:style>
  <w:style w:type="paragraph" w:styleId="Heading4">
    <w:name w:val="heading 4"/>
    <w:basedOn w:val="Normal"/>
    <w:next w:val="Normal"/>
    <w:link w:val="Heading4Char"/>
    <w:autoRedefine/>
    <w:uiPriority w:val="2"/>
    <w:qFormat/>
    <w:rsid w:val="007D2BE6"/>
    <w:pPr>
      <w:keepNext/>
      <w:keepLines/>
      <w:spacing w:before="240" w:after="120"/>
      <w:contextualSpacing w:val="0"/>
      <w:outlineLvl w:val="3"/>
    </w:pPr>
    <w:rPr>
      <w:b/>
      <w:bCs/>
      <w:color w:val="333E48"/>
      <w:szCs w:val="24"/>
    </w:rPr>
  </w:style>
  <w:style w:type="paragraph" w:styleId="Heading8">
    <w:name w:val="heading 8"/>
    <w:basedOn w:val="Heading4"/>
    <w:next w:val="Normal"/>
    <w:link w:val="Heading8Char"/>
    <w:autoRedefine/>
    <w:uiPriority w:val="9"/>
    <w:semiHidden/>
    <w:unhideWhenUsed/>
    <w:qFormat/>
    <w:rsid w:val="007D2BE6"/>
    <w:pPr>
      <w:spacing w:before="200"/>
      <w:outlineLvl w:val="7"/>
    </w:pPr>
    <w:rPr>
      <w:rFonts w:eastAsiaTheme="majorEastAsia" w:cstheme="majorBidi"/>
      <w:color w:val="333E48" w:themeColor="text1"/>
      <w:szCs w:val="20"/>
    </w:rPr>
  </w:style>
  <w:style w:type="paragraph" w:styleId="Heading9">
    <w:name w:val="heading 9"/>
    <w:basedOn w:val="Normal"/>
    <w:next w:val="Normal"/>
    <w:link w:val="Heading9Char"/>
    <w:uiPriority w:val="9"/>
    <w:semiHidden/>
    <w:unhideWhenUsed/>
    <w:qFormat/>
    <w:rsid w:val="007D2BE6"/>
    <w:pPr>
      <w:keepNext/>
      <w:keepLines/>
      <w:spacing w:before="20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C8C"/>
    <w:pPr>
      <w:tabs>
        <w:tab w:val="center" w:pos="4513"/>
        <w:tab w:val="right" w:pos="9026"/>
      </w:tabs>
    </w:pPr>
  </w:style>
  <w:style w:type="character" w:customStyle="1" w:styleId="HeaderChar">
    <w:name w:val="Header Char"/>
    <w:basedOn w:val="DefaultParagraphFont"/>
    <w:link w:val="Header"/>
    <w:uiPriority w:val="99"/>
    <w:rsid w:val="00CC5C8C"/>
  </w:style>
  <w:style w:type="paragraph" w:styleId="Footer">
    <w:name w:val="footer"/>
    <w:basedOn w:val="Normal"/>
    <w:link w:val="FooterChar"/>
    <w:uiPriority w:val="99"/>
    <w:unhideWhenUsed/>
    <w:rsid w:val="00CC5C8C"/>
    <w:pPr>
      <w:tabs>
        <w:tab w:val="center" w:pos="4513"/>
        <w:tab w:val="right" w:pos="9026"/>
      </w:tabs>
    </w:pPr>
  </w:style>
  <w:style w:type="character" w:customStyle="1" w:styleId="FooterChar">
    <w:name w:val="Footer Char"/>
    <w:basedOn w:val="DefaultParagraphFont"/>
    <w:link w:val="Footer"/>
    <w:uiPriority w:val="99"/>
    <w:rsid w:val="00CC5C8C"/>
  </w:style>
  <w:style w:type="paragraph" w:styleId="ListParagraph">
    <w:name w:val="List Paragraph"/>
    <w:basedOn w:val="Normal"/>
    <w:autoRedefine/>
    <w:uiPriority w:val="34"/>
    <w:qFormat/>
    <w:rsid w:val="007D2BE6"/>
    <w:pPr>
      <w:numPr>
        <w:numId w:val="7"/>
      </w:numPr>
    </w:pPr>
    <w:rPr>
      <w:rFonts w:eastAsia="Calibri" w:cs="Calibri"/>
    </w:rPr>
  </w:style>
  <w:style w:type="character" w:styleId="Hyperlink">
    <w:name w:val="Hyperlink"/>
    <w:basedOn w:val="DefaultParagraphFont"/>
    <w:uiPriority w:val="99"/>
    <w:unhideWhenUsed/>
    <w:rsid w:val="00B43C7C"/>
    <w:rPr>
      <w:color w:val="F69F19" w:themeColor="hyperlink"/>
      <w:u w:val="single"/>
    </w:rPr>
  </w:style>
  <w:style w:type="character" w:styleId="UnresolvedMention">
    <w:name w:val="Unresolved Mention"/>
    <w:basedOn w:val="DefaultParagraphFont"/>
    <w:uiPriority w:val="99"/>
    <w:semiHidden/>
    <w:unhideWhenUsed/>
    <w:rsid w:val="00B43C7C"/>
    <w:rPr>
      <w:color w:val="605E5C"/>
      <w:shd w:val="clear" w:color="auto" w:fill="E1DFDD"/>
    </w:rPr>
  </w:style>
  <w:style w:type="character" w:customStyle="1" w:styleId="Heading1Char">
    <w:name w:val="Heading 1 Char"/>
    <w:basedOn w:val="DefaultParagraphFont"/>
    <w:link w:val="Heading1"/>
    <w:uiPriority w:val="2"/>
    <w:rsid w:val="007D2BE6"/>
    <w:rPr>
      <w:rFonts w:ascii="Open Sans" w:hAnsi="Open Sans"/>
      <w:b/>
      <w:bCs/>
      <w:color w:val="F69F19" w:themeColor="background1"/>
      <w:kern w:val="36"/>
      <w:sz w:val="40"/>
      <w:szCs w:val="40"/>
    </w:rPr>
  </w:style>
  <w:style w:type="character" w:customStyle="1" w:styleId="Heading2Char">
    <w:name w:val="Heading 2 Char"/>
    <w:basedOn w:val="DefaultParagraphFont"/>
    <w:link w:val="Heading2"/>
    <w:uiPriority w:val="2"/>
    <w:rsid w:val="007D2BE6"/>
    <w:rPr>
      <w:rFonts w:ascii="Open Sans" w:hAnsi="Open Sans" w:cs="Open Sans"/>
      <w:b/>
      <w:bCs/>
      <w:color w:val="384248"/>
      <w:sz w:val="32"/>
      <w:szCs w:val="32"/>
    </w:rPr>
  </w:style>
  <w:style w:type="character" w:customStyle="1" w:styleId="Heading3Char">
    <w:name w:val="Heading 3 Char"/>
    <w:basedOn w:val="DefaultParagraphFont"/>
    <w:link w:val="Heading3"/>
    <w:uiPriority w:val="2"/>
    <w:rsid w:val="007D2BE6"/>
    <w:rPr>
      <w:rFonts w:ascii="Open Sans" w:hAnsi="Open Sans"/>
      <w:b/>
      <w:bCs/>
      <w:color w:val="333E48"/>
      <w:sz w:val="24"/>
    </w:rPr>
  </w:style>
  <w:style w:type="character" w:customStyle="1" w:styleId="Heading4Char">
    <w:name w:val="Heading 4 Char"/>
    <w:basedOn w:val="DefaultParagraphFont"/>
    <w:link w:val="Heading4"/>
    <w:uiPriority w:val="2"/>
    <w:rsid w:val="007D2BE6"/>
    <w:rPr>
      <w:rFonts w:ascii="Open Sans" w:hAnsi="Open Sans"/>
      <w:b/>
      <w:bCs/>
      <w:color w:val="333E48"/>
      <w:szCs w:val="24"/>
    </w:rPr>
  </w:style>
  <w:style w:type="character" w:customStyle="1" w:styleId="Heading8Char">
    <w:name w:val="Heading 8 Char"/>
    <w:basedOn w:val="DefaultParagraphFont"/>
    <w:link w:val="Heading8"/>
    <w:uiPriority w:val="9"/>
    <w:semiHidden/>
    <w:rsid w:val="007D2BE6"/>
    <w:rPr>
      <w:rFonts w:ascii="Open Sans" w:eastAsiaTheme="majorEastAsia" w:hAnsi="Open Sans" w:cstheme="majorBidi"/>
      <w:b/>
      <w:bCs/>
    </w:rPr>
  </w:style>
  <w:style w:type="character" w:customStyle="1" w:styleId="Heading9Char">
    <w:name w:val="Heading 9 Char"/>
    <w:basedOn w:val="DefaultParagraphFont"/>
    <w:link w:val="Heading9"/>
    <w:uiPriority w:val="9"/>
    <w:semiHidden/>
    <w:rsid w:val="007D2BE6"/>
    <w:rPr>
      <w:rFonts w:ascii="Open Sans" w:eastAsiaTheme="majorEastAsia" w:hAnsi="Open Sans" w:cstheme="majorBidi"/>
      <w:i/>
      <w:iCs/>
    </w:rPr>
  </w:style>
  <w:style w:type="paragraph" w:styleId="Caption">
    <w:name w:val="caption"/>
    <w:basedOn w:val="Normal"/>
    <w:next w:val="Normal"/>
    <w:uiPriority w:val="35"/>
    <w:semiHidden/>
    <w:unhideWhenUsed/>
    <w:qFormat/>
    <w:rsid w:val="007D2BE6"/>
    <w:pPr>
      <w:spacing w:after="200"/>
    </w:pPr>
    <w:rPr>
      <w:b/>
      <w:bCs/>
      <w:color w:val="F6F7F6" w:themeColor="accent1"/>
      <w:sz w:val="18"/>
      <w:szCs w:val="18"/>
    </w:rPr>
  </w:style>
  <w:style w:type="paragraph" w:styleId="ListBullet">
    <w:name w:val="List Bullet"/>
    <w:basedOn w:val="Normal"/>
    <w:uiPriority w:val="99"/>
    <w:semiHidden/>
    <w:unhideWhenUsed/>
    <w:qFormat/>
    <w:rsid w:val="007D2BE6"/>
    <w:pPr>
      <w:numPr>
        <w:numId w:val="4"/>
      </w:numPr>
    </w:pPr>
  </w:style>
  <w:style w:type="paragraph" w:styleId="ListNumber">
    <w:name w:val="List Number"/>
    <w:basedOn w:val="Normal"/>
    <w:uiPriority w:val="99"/>
    <w:semiHidden/>
    <w:unhideWhenUsed/>
    <w:qFormat/>
    <w:rsid w:val="007D2BE6"/>
    <w:pPr>
      <w:numPr>
        <w:numId w:val="6"/>
      </w:numPr>
    </w:pPr>
  </w:style>
  <w:style w:type="paragraph" w:styleId="Title">
    <w:name w:val="Title"/>
    <w:basedOn w:val="Normal"/>
    <w:next w:val="Normal"/>
    <w:link w:val="TitleChar"/>
    <w:autoRedefine/>
    <w:qFormat/>
    <w:rsid w:val="007D2BE6"/>
    <w:pPr>
      <w:pBdr>
        <w:bottom w:val="single" w:sz="8" w:space="4" w:color="auto"/>
      </w:pBdr>
      <w:spacing w:after="300"/>
      <w:contextualSpacing w:val="0"/>
    </w:pPr>
    <w:rPr>
      <w:rFonts w:eastAsiaTheme="majorEastAsia" w:cstheme="majorBidi"/>
      <w:spacing w:val="5"/>
      <w:kern w:val="28"/>
      <w:sz w:val="130"/>
      <w:szCs w:val="52"/>
    </w:rPr>
  </w:style>
  <w:style w:type="character" w:customStyle="1" w:styleId="TitleChar">
    <w:name w:val="Title Char"/>
    <w:basedOn w:val="DefaultParagraphFont"/>
    <w:link w:val="Title"/>
    <w:rsid w:val="007D2BE6"/>
    <w:rPr>
      <w:rFonts w:ascii="Open Sans" w:eastAsiaTheme="majorEastAsia" w:hAnsi="Open Sans" w:cstheme="majorBidi"/>
      <w:spacing w:val="5"/>
      <w:kern w:val="28"/>
      <w:sz w:val="130"/>
      <w:szCs w:val="52"/>
    </w:rPr>
  </w:style>
  <w:style w:type="paragraph" w:styleId="Subtitle">
    <w:name w:val="Subtitle"/>
    <w:basedOn w:val="Normal"/>
    <w:next w:val="Normal"/>
    <w:link w:val="SubtitleChar"/>
    <w:autoRedefine/>
    <w:uiPriority w:val="1"/>
    <w:qFormat/>
    <w:rsid w:val="007D2BE6"/>
    <w:pPr>
      <w:numPr>
        <w:ilvl w:val="1"/>
      </w:numPr>
      <w:contextualSpacing w:val="0"/>
    </w:pPr>
    <w:rPr>
      <w:rFonts w:eastAsiaTheme="majorEastAsia" w:cstheme="majorBidi"/>
      <w:iCs/>
      <w:color w:val="F69F19" w:themeColor="background1"/>
      <w:spacing w:val="15"/>
      <w:sz w:val="64"/>
      <w:szCs w:val="24"/>
    </w:rPr>
  </w:style>
  <w:style w:type="character" w:customStyle="1" w:styleId="SubtitleChar">
    <w:name w:val="Subtitle Char"/>
    <w:basedOn w:val="DefaultParagraphFont"/>
    <w:link w:val="Subtitle"/>
    <w:uiPriority w:val="1"/>
    <w:rsid w:val="007D2BE6"/>
    <w:rPr>
      <w:rFonts w:ascii="Open Sans" w:eastAsiaTheme="majorEastAsia" w:hAnsi="Open Sans" w:cstheme="majorBidi"/>
      <w:iCs/>
      <w:color w:val="F69F19" w:themeColor="background1"/>
      <w:spacing w:val="15"/>
      <w:sz w:val="64"/>
      <w:szCs w:val="24"/>
    </w:rPr>
  </w:style>
  <w:style w:type="paragraph" w:styleId="TOCHeading">
    <w:name w:val="TOC Heading"/>
    <w:basedOn w:val="Heading1"/>
    <w:next w:val="Normal"/>
    <w:uiPriority w:val="4"/>
    <w:qFormat/>
    <w:rsid w:val="007D2BE6"/>
    <w:pPr>
      <w:spacing w:before="480" w:after="0"/>
      <w:outlineLvl w:val="9"/>
    </w:pPr>
    <w:rPr>
      <w:rFonts w:eastAsiaTheme="majorEastAsia" w:cstheme="majorBidi"/>
      <w:kern w:val="0"/>
      <w:szCs w:val="28"/>
    </w:rPr>
  </w:style>
  <w:style w:type="character" w:styleId="FollowedHyperlink">
    <w:name w:val="FollowedHyperlink"/>
    <w:basedOn w:val="DefaultParagraphFont"/>
    <w:uiPriority w:val="99"/>
    <w:semiHidden/>
    <w:unhideWhenUsed/>
    <w:rsid w:val="007D2BE6"/>
    <w:rPr>
      <w:color w:val="97979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www.nhshealthatwork.co.uk/images/library/files/providers/Performers_health_clearance_providers_05.11.19.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NE@hettleandrews.co.uk" TargetMode="External"/><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HA Theme">
  <a:themeElements>
    <a:clrScheme name="Hettle Andrews">
      <a:dk1>
        <a:srgbClr val="333E48"/>
      </a:dk1>
      <a:lt1>
        <a:srgbClr val="F69F19"/>
      </a:lt1>
      <a:dk2>
        <a:srgbClr val="333E48"/>
      </a:dk2>
      <a:lt2>
        <a:srgbClr val="E7E7E7"/>
      </a:lt2>
      <a:accent1>
        <a:srgbClr val="F6F7F6"/>
      </a:accent1>
      <a:accent2>
        <a:srgbClr val="979797"/>
      </a:accent2>
      <a:accent3>
        <a:srgbClr val="92D050"/>
      </a:accent3>
      <a:accent4>
        <a:srgbClr val="FFFF00"/>
      </a:accent4>
      <a:accent5>
        <a:srgbClr val="0070C0"/>
      </a:accent5>
      <a:accent6>
        <a:srgbClr val="FF0000"/>
      </a:accent6>
      <a:hlink>
        <a:srgbClr val="F69F19"/>
      </a:hlink>
      <a:folHlink>
        <a:srgbClr val="979797"/>
      </a:folHlink>
    </a:clrScheme>
    <a:fontScheme name="Hettle Andrews">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1B5B76E28ACB4DA1223EBB6D287406" ma:contentTypeVersion="12" ma:contentTypeDescription="Create a new document." ma:contentTypeScope="" ma:versionID="f2e1d79a4843c0caf552e8ee027810d2">
  <xsd:schema xmlns:xsd="http://www.w3.org/2001/XMLSchema" xmlns:xs="http://www.w3.org/2001/XMLSchema" xmlns:p="http://schemas.microsoft.com/office/2006/metadata/properties" xmlns:ns2="218c1654-c4c5-42eb-afb1-d10aaf90d3ea" xmlns:ns3="05abc5bc-8317-445e-a72e-f7a39794e9af" targetNamespace="http://schemas.microsoft.com/office/2006/metadata/properties" ma:root="true" ma:fieldsID="5a987bff09512b0c6897f5ed1eec1770" ns2:_="" ns3:_="">
    <xsd:import namespace="218c1654-c4c5-42eb-afb1-d10aaf90d3ea"/>
    <xsd:import namespace="05abc5bc-8317-445e-a72e-f7a39794e9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c1654-c4c5-42eb-afb1-d10aaf90d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abc5bc-8317-445e-a72e-f7a39794e9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BAAABD-8C9B-45A0-AB5D-0ECF9C1474B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3d806a0-7abd-4c3f-b49e-fc898d27a3dc"/>
    <ds:schemaRef ds:uri="http://www.w3.org/XML/1998/namespace"/>
  </ds:schemaRefs>
</ds:datastoreItem>
</file>

<file path=customXml/itemProps2.xml><?xml version="1.0" encoding="utf-8"?>
<ds:datastoreItem xmlns:ds="http://schemas.openxmlformats.org/officeDocument/2006/customXml" ds:itemID="{2B1B98DE-2604-493B-B988-85EA9EDB224B}">
  <ds:schemaRefs>
    <ds:schemaRef ds:uri="http://schemas.microsoft.com/sharepoint/v3/contenttype/forms"/>
  </ds:schemaRefs>
</ds:datastoreItem>
</file>

<file path=customXml/itemProps3.xml><?xml version="1.0" encoding="utf-8"?>
<ds:datastoreItem xmlns:ds="http://schemas.openxmlformats.org/officeDocument/2006/customXml" ds:itemID="{17A5B285-1821-4138-A5E2-D74C3350E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c1654-c4c5-42eb-afb1-d10aaf90d3ea"/>
    <ds:schemaRef ds:uri="05abc5bc-8317-445e-a72e-f7a39794e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1591</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Cox</dc:creator>
  <cp:keywords/>
  <dc:description/>
  <cp:lastModifiedBy>Amy Moran</cp:lastModifiedBy>
  <cp:revision>7</cp:revision>
  <dcterms:created xsi:type="dcterms:W3CDTF">2021-01-07T18:31:00Z</dcterms:created>
  <dcterms:modified xsi:type="dcterms:W3CDTF">2021-01-07T18:34:00Z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0x010100181B5B76E28ACB4DA1223EBB6D287406</vt:lpwstr>
  </property>
  <property fmtid="{D5CDD505-2E9C-101B-9397-08002B2CF9AE}" pid="3" name="Order">
    <vt:r8>110700</vt:r8>
  </property>
</Properties>
</file>